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BD8" w:rsidRPr="00F950F4" w:rsidRDefault="005F79E6" w:rsidP="00F950F4">
      <w:pPr>
        <w:pStyle w:val="ListParagraph"/>
        <w:jc w:val="center"/>
        <w:rPr>
          <w:sz w:val="48"/>
          <w:szCs w:val="48"/>
        </w:rPr>
      </w:pPr>
      <w:bookmarkStart w:id="0" w:name="_GoBack"/>
      <w:bookmarkEnd w:id="0"/>
      <w:r w:rsidRPr="00F950F4">
        <w:rPr>
          <w:sz w:val="48"/>
          <w:szCs w:val="48"/>
        </w:rPr>
        <w:t xml:space="preserve">Is there a distinctive role </w:t>
      </w:r>
      <w:r w:rsidR="009E6A9C" w:rsidRPr="00F950F4">
        <w:rPr>
          <w:sz w:val="48"/>
          <w:szCs w:val="48"/>
        </w:rPr>
        <w:t>for a deacon in a multi-faith context</w:t>
      </w:r>
      <w:r w:rsidR="0020637A" w:rsidRPr="00F950F4">
        <w:rPr>
          <w:sz w:val="48"/>
          <w:szCs w:val="48"/>
        </w:rPr>
        <w:t>?</w:t>
      </w:r>
    </w:p>
    <w:p w:rsidR="00F950F4" w:rsidRDefault="00F950F4" w:rsidP="00DC3BD8">
      <w:pPr>
        <w:pStyle w:val="ListParagraph"/>
        <w:rPr>
          <w:sz w:val="32"/>
          <w:szCs w:val="32"/>
        </w:rPr>
      </w:pPr>
    </w:p>
    <w:p w:rsidR="00F950F4" w:rsidRDefault="00F950F4" w:rsidP="00DC3BD8">
      <w:pPr>
        <w:pStyle w:val="ListParagraph"/>
        <w:rPr>
          <w:sz w:val="32"/>
          <w:szCs w:val="32"/>
        </w:rPr>
      </w:pPr>
    </w:p>
    <w:p w:rsidR="00F950F4" w:rsidRDefault="00F950F4" w:rsidP="00F950F4">
      <w:pPr>
        <w:pStyle w:val="Normal1"/>
        <w:jc w:val="both"/>
        <w:rPr>
          <w:b/>
          <w:sz w:val="36"/>
          <w:szCs w:val="36"/>
        </w:rPr>
      </w:pPr>
    </w:p>
    <w:p w:rsidR="00F950F4" w:rsidRDefault="00F950F4" w:rsidP="00F950F4">
      <w:pPr>
        <w:pStyle w:val="Normal1"/>
        <w:jc w:val="center"/>
        <w:rPr>
          <w:sz w:val="32"/>
          <w:szCs w:val="32"/>
        </w:rPr>
      </w:pPr>
    </w:p>
    <w:p w:rsidR="00F950F4" w:rsidRDefault="00F950F4" w:rsidP="00F950F4">
      <w:pPr>
        <w:pStyle w:val="Normal1"/>
        <w:jc w:val="center"/>
        <w:rPr>
          <w:sz w:val="32"/>
          <w:szCs w:val="32"/>
        </w:rPr>
      </w:pPr>
    </w:p>
    <w:p w:rsidR="00F950F4" w:rsidRPr="005066CD" w:rsidRDefault="00F950F4" w:rsidP="00F950F4">
      <w:pPr>
        <w:pStyle w:val="Normal1"/>
        <w:jc w:val="center"/>
        <w:rPr>
          <w:rFonts w:asciiTheme="minorHAnsi" w:hAnsiTheme="minorHAnsi"/>
          <w:sz w:val="44"/>
          <w:szCs w:val="44"/>
        </w:rPr>
      </w:pPr>
      <w:r w:rsidRPr="005066CD">
        <w:rPr>
          <w:rFonts w:asciiTheme="minorHAnsi" w:hAnsiTheme="minorHAnsi"/>
          <w:sz w:val="44"/>
          <w:szCs w:val="44"/>
        </w:rPr>
        <w:t>Submitted for MA in Transformative Christian Practice</w:t>
      </w:r>
    </w:p>
    <w:p w:rsidR="00F950F4" w:rsidRPr="005066CD" w:rsidRDefault="00F950F4" w:rsidP="00F950F4">
      <w:pPr>
        <w:pStyle w:val="Normal1"/>
        <w:jc w:val="both"/>
        <w:rPr>
          <w:rFonts w:asciiTheme="minorHAnsi" w:hAnsiTheme="minorHAnsi"/>
          <w:sz w:val="44"/>
          <w:szCs w:val="44"/>
        </w:rPr>
      </w:pPr>
    </w:p>
    <w:p w:rsidR="00F950F4" w:rsidRPr="005066CD" w:rsidRDefault="00F950F4" w:rsidP="00F950F4">
      <w:pPr>
        <w:pStyle w:val="Normal1"/>
        <w:jc w:val="both"/>
        <w:rPr>
          <w:rFonts w:asciiTheme="minorHAnsi" w:hAnsiTheme="minorHAnsi"/>
          <w:sz w:val="44"/>
          <w:szCs w:val="44"/>
        </w:rPr>
      </w:pPr>
    </w:p>
    <w:p w:rsidR="00F950F4" w:rsidRPr="005066CD" w:rsidRDefault="00F950F4" w:rsidP="00F950F4">
      <w:pPr>
        <w:pStyle w:val="Normal1"/>
        <w:jc w:val="center"/>
        <w:rPr>
          <w:rFonts w:asciiTheme="minorHAnsi" w:hAnsiTheme="minorHAnsi"/>
          <w:sz w:val="44"/>
          <w:szCs w:val="44"/>
        </w:rPr>
      </w:pPr>
      <w:r w:rsidRPr="005066CD">
        <w:rPr>
          <w:rFonts w:asciiTheme="minorHAnsi" w:hAnsiTheme="minorHAnsi"/>
          <w:sz w:val="44"/>
          <w:szCs w:val="44"/>
        </w:rPr>
        <w:t>By Jessica Foster</w:t>
      </w:r>
    </w:p>
    <w:p w:rsidR="00F950F4" w:rsidRPr="005066CD" w:rsidRDefault="00F950F4" w:rsidP="00F950F4">
      <w:pPr>
        <w:pStyle w:val="Normal1"/>
        <w:jc w:val="center"/>
        <w:rPr>
          <w:rFonts w:asciiTheme="minorHAnsi" w:hAnsiTheme="minorHAnsi"/>
          <w:sz w:val="44"/>
          <w:szCs w:val="44"/>
        </w:rPr>
      </w:pPr>
    </w:p>
    <w:p w:rsidR="00F950F4" w:rsidRPr="005066CD" w:rsidRDefault="00F950F4" w:rsidP="00F950F4">
      <w:pPr>
        <w:pStyle w:val="Normal1"/>
        <w:jc w:val="center"/>
        <w:rPr>
          <w:rFonts w:asciiTheme="minorHAnsi" w:hAnsiTheme="minorHAnsi"/>
          <w:sz w:val="44"/>
          <w:szCs w:val="44"/>
        </w:rPr>
      </w:pPr>
      <w:r w:rsidRPr="005066CD">
        <w:rPr>
          <w:rFonts w:asciiTheme="minorHAnsi" w:hAnsiTheme="minorHAnsi"/>
          <w:sz w:val="44"/>
          <w:szCs w:val="44"/>
        </w:rPr>
        <w:t xml:space="preserve">University Identification Number </w:t>
      </w:r>
      <w:r w:rsidR="005066CD" w:rsidRPr="005066CD">
        <w:rPr>
          <w:rFonts w:asciiTheme="minorHAnsi" w:hAnsiTheme="minorHAnsi"/>
          <w:b/>
          <w:sz w:val="44"/>
          <w:szCs w:val="44"/>
        </w:rPr>
        <w:t xml:space="preserve"> 411098</w:t>
      </w:r>
    </w:p>
    <w:p w:rsidR="00F950F4" w:rsidRPr="005066CD" w:rsidRDefault="00F950F4" w:rsidP="00F950F4">
      <w:pPr>
        <w:pStyle w:val="Normal1"/>
        <w:jc w:val="center"/>
        <w:rPr>
          <w:rFonts w:asciiTheme="minorHAnsi" w:hAnsiTheme="minorHAnsi"/>
          <w:sz w:val="44"/>
          <w:szCs w:val="44"/>
        </w:rPr>
      </w:pPr>
    </w:p>
    <w:p w:rsidR="00F950F4" w:rsidRPr="005066CD" w:rsidRDefault="00F950F4" w:rsidP="00F950F4">
      <w:pPr>
        <w:pStyle w:val="Normal1"/>
        <w:jc w:val="center"/>
        <w:rPr>
          <w:rFonts w:asciiTheme="minorHAnsi" w:hAnsiTheme="minorHAnsi"/>
          <w:sz w:val="44"/>
          <w:szCs w:val="44"/>
        </w:rPr>
      </w:pPr>
      <w:r w:rsidRPr="005066CD">
        <w:rPr>
          <w:rFonts w:asciiTheme="minorHAnsi" w:hAnsiTheme="minorHAnsi"/>
          <w:sz w:val="44"/>
          <w:szCs w:val="44"/>
        </w:rPr>
        <w:t>August 2015</w:t>
      </w:r>
    </w:p>
    <w:p w:rsidR="00F950F4" w:rsidRPr="005066CD" w:rsidRDefault="00F950F4" w:rsidP="00F950F4">
      <w:pPr>
        <w:pStyle w:val="Normal1"/>
        <w:jc w:val="center"/>
        <w:rPr>
          <w:rFonts w:asciiTheme="minorHAnsi" w:hAnsiTheme="minorHAnsi"/>
          <w:sz w:val="44"/>
          <w:szCs w:val="44"/>
        </w:rPr>
      </w:pPr>
    </w:p>
    <w:p w:rsidR="00F950F4" w:rsidRPr="005066CD" w:rsidRDefault="00F950F4" w:rsidP="00F950F4">
      <w:pPr>
        <w:pStyle w:val="Normal1"/>
        <w:jc w:val="center"/>
        <w:rPr>
          <w:rFonts w:asciiTheme="minorHAnsi" w:hAnsiTheme="minorHAnsi"/>
          <w:sz w:val="44"/>
          <w:szCs w:val="44"/>
        </w:rPr>
      </w:pPr>
      <w:r w:rsidRPr="005066CD">
        <w:rPr>
          <w:rFonts w:asciiTheme="minorHAnsi" w:hAnsiTheme="minorHAnsi"/>
          <w:sz w:val="44"/>
          <w:szCs w:val="44"/>
        </w:rPr>
        <w:t>Word count: 15,268</w:t>
      </w:r>
    </w:p>
    <w:p w:rsidR="00F950F4" w:rsidRPr="005066CD" w:rsidRDefault="00F950F4" w:rsidP="00F950F4">
      <w:pPr>
        <w:pStyle w:val="Normal1"/>
        <w:jc w:val="both"/>
        <w:rPr>
          <w:rFonts w:asciiTheme="minorHAnsi" w:hAnsiTheme="minorHAnsi"/>
          <w:b/>
          <w:sz w:val="44"/>
          <w:szCs w:val="44"/>
        </w:rPr>
      </w:pPr>
    </w:p>
    <w:p w:rsidR="00F950F4" w:rsidRPr="008A7E95" w:rsidRDefault="00F950F4" w:rsidP="00DC3BD8">
      <w:pPr>
        <w:pStyle w:val="ListParagraph"/>
        <w:rPr>
          <w:sz w:val="32"/>
          <w:szCs w:val="32"/>
        </w:rPr>
      </w:pPr>
    </w:p>
    <w:p w:rsidR="00F950F4" w:rsidRDefault="00E57EC4">
      <w:pPr>
        <w:rPr>
          <w:b/>
          <w:sz w:val="28"/>
          <w:szCs w:val="28"/>
        </w:rPr>
      </w:pPr>
      <w:r>
        <w:rPr>
          <w:b/>
          <w:sz w:val="28"/>
          <w:szCs w:val="28"/>
        </w:rPr>
        <w:br/>
      </w:r>
      <w:r>
        <w:rPr>
          <w:b/>
          <w:sz w:val="28"/>
          <w:szCs w:val="28"/>
        </w:rPr>
        <w:br/>
      </w:r>
    </w:p>
    <w:p w:rsidR="00457034" w:rsidRDefault="00457034" w:rsidP="009B47D4">
      <w:pPr>
        <w:tabs>
          <w:tab w:val="left" w:pos="2054"/>
        </w:tabs>
        <w:rPr>
          <w:b/>
          <w:sz w:val="28"/>
          <w:szCs w:val="28"/>
        </w:rPr>
      </w:pPr>
    </w:p>
    <w:p w:rsidR="00457034" w:rsidRDefault="00457034" w:rsidP="009B47D4">
      <w:pPr>
        <w:tabs>
          <w:tab w:val="left" w:pos="2054"/>
        </w:tabs>
        <w:rPr>
          <w:b/>
          <w:sz w:val="28"/>
          <w:szCs w:val="28"/>
        </w:rPr>
      </w:pPr>
      <w:r>
        <w:rPr>
          <w:b/>
          <w:sz w:val="28"/>
          <w:szCs w:val="28"/>
        </w:rPr>
        <w:lastRenderedPageBreak/>
        <w:t>Abstract</w:t>
      </w:r>
    </w:p>
    <w:p w:rsidR="00457034" w:rsidRPr="00A268EF" w:rsidRDefault="00457034" w:rsidP="009B47D4">
      <w:pPr>
        <w:tabs>
          <w:tab w:val="left" w:pos="2054"/>
        </w:tabs>
        <w:rPr>
          <w:i/>
        </w:rPr>
      </w:pPr>
      <w:r w:rsidRPr="00A268EF">
        <w:rPr>
          <w:i/>
        </w:rPr>
        <w:t>Diaconal ministry and ministry in multi-faith contexts are both subjects which have failed to fire the imagination of the Church of England’s central structures and institutions. Separately both of these ministries present major challenges and opportunities to the church in 21</w:t>
      </w:r>
      <w:r w:rsidRPr="00A268EF">
        <w:rPr>
          <w:i/>
          <w:vertAlign w:val="superscript"/>
        </w:rPr>
        <w:t>st</w:t>
      </w:r>
      <w:r w:rsidRPr="00A268EF">
        <w:rPr>
          <w:i/>
        </w:rPr>
        <w:t xml:space="preserve"> Century England yet together they could well offer something innovative and yet traditional which could enable a new generation of ministers and a new mode of mission. The research undertaken for this dissertation has shown a massive overlap in the understandings of both kinds of ministries. It has also suggested that these ministries flow out of a set of virtues that are both diaconal and enable multi-faith engagement.</w:t>
      </w:r>
      <w:r w:rsidR="00A268EF" w:rsidRPr="00A268EF">
        <w:rPr>
          <w:i/>
        </w:rPr>
        <w:t xml:space="preserve"> It also suggests that ordaining and equipping the non-leader (the deacon) may bring new possibilities for the church that are not accessible to those in positions of institutional power and authority.</w:t>
      </w:r>
      <w:r w:rsidR="005C2127">
        <w:rPr>
          <w:i/>
        </w:rPr>
        <w:t xml:space="preserve"> Could diaconal, interfaith mission and ministry be the next Fresh Expression?</w:t>
      </w:r>
    </w:p>
    <w:p w:rsidR="00F950F4" w:rsidRPr="00F950F4" w:rsidRDefault="00F950F4" w:rsidP="00F950F4">
      <w:pPr>
        <w:pStyle w:val="Title"/>
        <w:spacing w:after="100"/>
        <w:contextualSpacing/>
        <w:jc w:val="both"/>
        <w:rPr>
          <w:rFonts w:cs="Times New Roman"/>
          <w:b/>
          <w:color w:val="auto"/>
          <w:sz w:val="28"/>
          <w:szCs w:val="28"/>
        </w:rPr>
      </w:pPr>
      <w:r w:rsidRPr="00F950F4">
        <w:rPr>
          <w:rFonts w:cs="Times New Roman"/>
          <w:b/>
          <w:caps w:val="0"/>
          <w:color w:val="auto"/>
          <w:sz w:val="28"/>
          <w:szCs w:val="28"/>
        </w:rPr>
        <w:t>Anti-Plagiarism Statement</w:t>
      </w:r>
    </w:p>
    <w:p w:rsidR="00F950F4" w:rsidRPr="00F950F4" w:rsidRDefault="00F950F4" w:rsidP="00F950F4">
      <w:pPr>
        <w:pStyle w:val="Body"/>
        <w:jc w:val="both"/>
        <w:rPr>
          <w:sz w:val="22"/>
          <w:szCs w:val="22"/>
          <w:lang w:val="en-US"/>
        </w:rPr>
      </w:pPr>
      <w:r w:rsidRPr="00F950F4">
        <w:rPr>
          <w:sz w:val="22"/>
          <w:szCs w:val="22"/>
          <w:lang w:val="en-US"/>
        </w:rPr>
        <w:t>This work is my own; it has not been submitted previously for credit in this or any other programme; and all material which has been copied or derived from other sources is explicitly acknowledged.</w:t>
      </w:r>
    </w:p>
    <w:p w:rsidR="00F950F4" w:rsidRDefault="00F950F4" w:rsidP="009B47D4">
      <w:pPr>
        <w:tabs>
          <w:tab w:val="left" w:pos="2054"/>
        </w:tabs>
        <w:rPr>
          <w:b/>
          <w:sz w:val="28"/>
          <w:szCs w:val="28"/>
        </w:rPr>
      </w:pPr>
    </w:p>
    <w:p w:rsidR="00F950F4" w:rsidRDefault="00F950F4" w:rsidP="009B47D4">
      <w:pPr>
        <w:tabs>
          <w:tab w:val="left" w:pos="2054"/>
        </w:tabs>
        <w:rPr>
          <w:b/>
          <w:sz w:val="28"/>
          <w:szCs w:val="28"/>
        </w:rPr>
      </w:pPr>
      <w:r>
        <w:rPr>
          <w:b/>
          <w:sz w:val="28"/>
          <w:szCs w:val="28"/>
        </w:rPr>
        <w:t>Acknowledgements</w:t>
      </w:r>
    </w:p>
    <w:p w:rsidR="00F950F4" w:rsidRDefault="005C2127" w:rsidP="009B47D4">
      <w:pPr>
        <w:tabs>
          <w:tab w:val="left" w:pos="2054"/>
        </w:tabs>
        <w:rPr>
          <w:b/>
          <w:sz w:val="24"/>
          <w:szCs w:val="24"/>
        </w:rPr>
      </w:pPr>
      <w:r w:rsidRPr="005C2127">
        <w:rPr>
          <w:b/>
          <w:sz w:val="24"/>
          <w:szCs w:val="24"/>
        </w:rPr>
        <w:t>Thanks to all who agreed to fill in the questionnaire and helped with the dissemination of them.</w:t>
      </w:r>
      <w:r w:rsidR="00E57EC4">
        <w:rPr>
          <w:b/>
          <w:sz w:val="24"/>
          <w:szCs w:val="24"/>
        </w:rPr>
        <w:t xml:space="preserve"> They are:</w:t>
      </w:r>
    </w:p>
    <w:p w:rsidR="00A13BED" w:rsidRDefault="00E57EC4" w:rsidP="009B47D4">
      <w:pPr>
        <w:tabs>
          <w:tab w:val="left" w:pos="2054"/>
        </w:tabs>
      </w:pPr>
      <w:r w:rsidRPr="00E57EC4">
        <w:t xml:space="preserve">Pete Middleton </w:t>
      </w:r>
      <w:r>
        <w:tab/>
        <w:t>RC Deacon</w:t>
      </w:r>
      <w:r>
        <w:tab/>
      </w:r>
      <w:r>
        <w:tab/>
        <w:t>Pat Wright</w:t>
      </w:r>
      <w:r>
        <w:tab/>
        <w:t xml:space="preserve"> </w:t>
      </w:r>
      <w:r>
        <w:tab/>
        <w:t>CofE Deacon</w:t>
      </w:r>
      <w:r>
        <w:br/>
        <w:t>Deb Buckley</w:t>
      </w:r>
      <w:r>
        <w:tab/>
        <w:t>CofE Priest</w:t>
      </w:r>
      <w:r>
        <w:tab/>
      </w:r>
      <w:r>
        <w:tab/>
        <w:t>Al Barrett</w:t>
      </w:r>
      <w:r>
        <w:tab/>
      </w:r>
      <w:r>
        <w:tab/>
        <w:t>CofE Priest</w:t>
      </w:r>
      <w:r>
        <w:br/>
        <w:t xml:space="preserve">Carol Sunley  </w:t>
      </w:r>
      <w:r>
        <w:tab/>
        <w:t>CofE Deacon</w:t>
      </w:r>
      <w:r>
        <w:tab/>
      </w:r>
      <w:r>
        <w:tab/>
        <w:t xml:space="preserve">Julie Newson </w:t>
      </w:r>
      <w:r>
        <w:tab/>
      </w:r>
      <w:r>
        <w:tab/>
        <w:t>CofE Deacon</w:t>
      </w:r>
      <w:r>
        <w:br/>
        <w:t>Jackie Hughes</w:t>
      </w:r>
      <w:r>
        <w:tab/>
        <w:t xml:space="preserve"> CofE Deacon</w:t>
      </w:r>
      <w:r>
        <w:tab/>
      </w:r>
      <w:r>
        <w:tab/>
        <w:t xml:space="preserve">Philip Rogerson </w:t>
      </w:r>
      <w:r>
        <w:tab/>
      </w:r>
      <w:r>
        <w:tab/>
        <w:t>RC Deacon</w:t>
      </w:r>
      <w:r>
        <w:br/>
        <w:t>Catherine Shelley</w:t>
      </w:r>
      <w:r>
        <w:tab/>
        <w:t>CofE Priest</w:t>
      </w:r>
      <w:r>
        <w:tab/>
      </w:r>
      <w:r>
        <w:tab/>
        <w:t>Oliver Coss</w:t>
      </w:r>
      <w:r>
        <w:tab/>
      </w:r>
      <w:r>
        <w:tab/>
        <w:t>CofE Priest</w:t>
      </w:r>
      <w:r w:rsidR="000239DD">
        <w:br/>
      </w:r>
      <w:r w:rsidR="00A13BED">
        <w:t>Kate Stowe</w:t>
      </w:r>
      <w:r w:rsidR="00A13BED">
        <w:tab/>
        <w:t>CofE Priest</w:t>
      </w:r>
      <w:r w:rsidR="000239DD">
        <w:tab/>
      </w:r>
      <w:r w:rsidR="000239DD">
        <w:tab/>
        <w:t xml:space="preserve">Christina Ohlsson </w:t>
      </w:r>
      <w:r w:rsidR="000239DD">
        <w:tab/>
        <w:t>Church of Sweden Deacon</w:t>
      </w:r>
      <w:r w:rsidR="00A13BED">
        <w:br/>
        <w:t>Henriette Howarth</w:t>
      </w:r>
      <w:r w:rsidR="00A13BED">
        <w:tab/>
        <w:t>CofE Deacon</w:t>
      </w:r>
      <w:r w:rsidR="00A13BED">
        <w:tab/>
      </w:r>
      <w:r w:rsidR="00A13BED">
        <w:tab/>
        <w:t xml:space="preserve">Jenny Ramsden </w:t>
      </w:r>
      <w:r w:rsidR="000239DD">
        <w:tab/>
        <w:t xml:space="preserve">               </w:t>
      </w:r>
      <w:r w:rsidR="00A13BED">
        <w:t>CofE Transitional Deacon</w:t>
      </w:r>
      <w:r w:rsidR="00A13BED">
        <w:br/>
        <w:t xml:space="preserve">Toby Howarth </w:t>
      </w:r>
      <w:r w:rsidR="00A13BED">
        <w:tab/>
        <w:t>CofE Bishop</w:t>
      </w:r>
      <w:r w:rsidR="00A13BED">
        <w:tab/>
      </w:r>
      <w:r w:rsidR="00A13BED">
        <w:tab/>
        <w:t>Keith Hebden</w:t>
      </w:r>
      <w:r w:rsidR="00A13BED">
        <w:tab/>
      </w:r>
      <w:r w:rsidR="00A13BED">
        <w:tab/>
        <w:t>CofE Priest</w:t>
      </w:r>
      <w:r w:rsidR="00A13BED">
        <w:tab/>
      </w:r>
      <w:r w:rsidR="000239DD">
        <w:br/>
        <w:t>John Barnett</w:t>
      </w:r>
      <w:r w:rsidR="000239DD">
        <w:tab/>
      </w:r>
      <w:r w:rsidR="00A13BED">
        <w:t>CofE Priest</w:t>
      </w:r>
      <w:r w:rsidR="000239DD">
        <w:tab/>
      </w:r>
      <w:r w:rsidR="000239DD">
        <w:tab/>
        <w:t>Anthony Murley              CofE Transitional Deacon</w:t>
      </w:r>
      <w:r w:rsidR="00A13BED">
        <w:br/>
        <w:t>Larry Wright</w:t>
      </w:r>
      <w:r w:rsidR="00A13BED">
        <w:tab/>
        <w:t>CofE Priest</w:t>
      </w:r>
      <w:r w:rsidR="00A13BED">
        <w:tab/>
      </w:r>
      <w:r w:rsidR="00A13BED">
        <w:tab/>
        <w:t xml:space="preserve">Mats Jirefalk  </w:t>
      </w:r>
      <w:r w:rsidR="000239DD">
        <w:t xml:space="preserve">                  </w:t>
      </w:r>
      <w:r w:rsidR="00A13BED">
        <w:t>Church of Sweden Deacon.</w:t>
      </w:r>
    </w:p>
    <w:p w:rsidR="00E57EC4" w:rsidRDefault="00635FB9" w:rsidP="009B47D4">
      <w:pPr>
        <w:tabs>
          <w:tab w:val="left" w:pos="2054"/>
        </w:tabs>
        <w:rPr>
          <w:b/>
          <w:sz w:val="24"/>
          <w:szCs w:val="24"/>
        </w:rPr>
      </w:pPr>
      <w:r>
        <w:rPr>
          <w:b/>
          <w:sz w:val="24"/>
          <w:szCs w:val="24"/>
        </w:rPr>
        <w:t xml:space="preserve">  </w:t>
      </w:r>
    </w:p>
    <w:p w:rsidR="00635FB9" w:rsidRPr="00635FB9" w:rsidRDefault="00635FB9" w:rsidP="009B47D4">
      <w:pPr>
        <w:tabs>
          <w:tab w:val="left" w:pos="2054"/>
        </w:tabs>
      </w:pPr>
      <w:r w:rsidRPr="00635FB9">
        <w:t>Methodist Deacons</w:t>
      </w:r>
      <w:r>
        <w:t>: Betty, Esther Longe, Mark Attwood, Laura MacBean, Annie, Linda Watkin, Sian Street, Kina and four anonymous contributors.</w:t>
      </w:r>
    </w:p>
    <w:p w:rsidR="00E57EC4" w:rsidRDefault="00E57EC4" w:rsidP="009B47D4">
      <w:pPr>
        <w:tabs>
          <w:tab w:val="left" w:pos="2054"/>
        </w:tabs>
        <w:rPr>
          <w:b/>
          <w:sz w:val="24"/>
          <w:szCs w:val="24"/>
        </w:rPr>
      </w:pPr>
    </w:p>
    <w:p w:rsidR="005C2127" w:rsidRDefault="005C2127" w:rsidP="009B47D4">
      <w:pPr>
        <w:tabs>
          <w:tab w:val="left" w:pos="2054"/>
        </w:tabs>
        <w:rPr>
          <w:b/>
          <w:sz w:val="24"/>
          <w:szCs w:val="24"/>
        </w:rPr>
      </w:pPr>
      <w:r w:rsidRPr="005C2127">
        <w:rPr>
          <w:b/>
          <w:sz w:val="24"/>
          <w:szCs w:val="24"/>
        </w:rPr>
        <w:t>Thanks to Simon Foster for proof-reading this dissertation</w:t>
      </w:r>
      <w:r>
        <w:rPr>
          <w:b/>
          <w:sz w:val="24"/>
          <w:szCs w:val="24"/>
        </w:rPr>
        <w:t>.</w:t>
      </w:r>
    </w:p>
    <w:p w:rsidR="005C2127" w:rsidRPr="005C2127" w:rsidRDefault="005C2127" w:rsidP="009B47D4">
      <w:pPr>
        <w:tabs>
          <w:tab w:val="left" w:pos="2054"/>
        </w:tabs>
        <w:rPr>
          <w:b/>
          <w:sz w:val="24"/>
          <w:szCs w:val="24"/>
        </w:rPr>
      </w:pPr>
    </w:p>
    <w:p w:rsidR="00CB7406" w:rsidRDefault="00CB7406" w:rsidP="00635FB9">
      <w:pPr>
        <w:tabs>
          <w:tab w:val="left" w:pos="2054"/>
        </w:tabs>
        <w:rPr>
          <w:b/>
          <w:sz w:val="28"/>
          <w:szCs w:val="28"/>
        </w:rPr>
      </w:pPr>
    </w:p>
    <w:sdt>
      <w:sdtPr>
        <w:rPr>
          <w:b w:val="0"/>
          <w:bCs w:val="0"/>
          <w:caps w:val="0"/>
          <w:color w:val="auto"/>
          <w:spacing w:val="0"/>
          <w:sz w:val="20"/>
          <w:szCs w:val="20"/>
          <w:lang w:bidi="ar-SA"/>
        </w:rPr>
        <w:id w:val="-111293062"/>
        <w:docPartObj>
          <w:docPartGallery w:val="Table of Contents"/>
          <w:docPartUnique/>
        </w:docPartObj>
      </w:sdtPr>
      <w:sdtEndPr>
        <w:rPr>
          <w:noProof/>
          <w:sz w:val="22"/>
          <w:szCs w:val="22"/>
        </w:rPr>
      </w:sdtEndPr>
      <w:sdtContent>
        <w:p w:rsidR="00CB7406" w:rsidRDefault="00CB7406" w:rsidP="00CB7406">
          <w:pPr>
            <w:pStyle w:val="TOCHeading"/>
          </w:pPr>
          <w:r>
            <w:t>Contents</w:t>
          </w:r>
        </w:p>
        <w:p w:rsidR="005C2127" w:rsidRDefault="006E37B0">
          <w:pPr>
            <w:pStyle w:val="TOC1"/>
            <w:tabs>
              <w:tab w:val="right" w:leader="dot" w:pos="9016"/>
            </w:tabs>
            <w:rPr>
              <w:b w:val="0"/>
              <w:bCs w:val="0"/>
              <w:i w:val="0"/>
              <w:iCs w:val="0"/>
              <w:caps w:val="0"/>
              <w:noProof/>
              <w:u w:val="none"/>
            </w:rPr>
          </w:pPr>
          <w:r>
            <w:fldChar w:fldCharType="begin"/>
          </w:r>
          <w:r w:rsidR="00CB7406">
            <w:instrText xml:space="preserve"> TOC \o "1-3" \h \z \u </w:instrText>
          </w:r>
          <w:r>
            <w:fldChar w:fldCharType="separate"/>
          </w:r>
          <w:hyperlink w:anchor="_Toc428110543" w:history="1">
            <w:r w:rsidR="005C2127" w:rsidRPr="00394F5A">
              <w:rPr>
                <w:rStyle w:val="Hyperlink"/>
                <w:noProof/>
              </w:rPr>
              <w:t>INTRODUCTION</w:t>
            </w:r>
            <w:r w:rsidR="005C2127">
              <w:rPr>
                <w:noProof/>
                <w:webHidden/>
              </w:rPr>
              <w:tab/>
            </w:r>
            <w:r>
              <w:rPr>
                <w:noProof/>
                <w:webHidden/>
              </w:rPr>
              <w:fldChar w:fldCharType="begin"/>
            </w:r>
            <w:r w:rsidR="005C2127">
              <w:rPr>
                <w:noProof/>
                <w:webHidden/>
              </w:rPr>
              <w:instrText xml:space="preserve"> PAGEREF _Toc428110543 \h </w:instrText>
            </w:r>
            <w:r>
              <w:rPr>
                <w:noProof/>
                <w:webHidden/>
              </w:rPr>
            </w:r>
            <w:r>
              <w:rPr>
                <w:noProof/>
                <w:webHidden/>
              </w:rPr>
              <w:fldChar w:fldCharType="separate"/>
            </w:r>
            <w:r w:rsidR="00910007">
              <w:rPr>
                <w:noProof/>
                <w:webHidden/>
              </w:rPr>
              <w:t>5</w:t>
            </w:r>
            <w:r>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44" w:history="1">
            <w:r w:rsidR="005C2127" w:rsidRPr="00394F5A">
              <w:rPr>
                <w:rStyle w:val="Hyperlink"/>
                <w:noProof/>
              </w:rPr>
              <w:t>Diaconate in the Church of England Today</w:t>
            </w:r>
            <w:r w:rsidR="005C2127">
              <w:rPr>
                <w:noProof/>
                <w:webHidden/>
              </w:rPr>
              <w:tab/>
            </w:r>
            <w:r w:rsidR="006E37B0">
              <w:rPr>
                <w:noProof/>
                <w:webHidden/>
              </w:rPr>
              <w:fldChar w:fldCharType="begin"/>
            </w:r>
            <w:r w:rsidR="005C2127">
              <w:rPr>
                <w:noProof/>
                <w:webHidden/>
              </w:rPr>
              <w:instrText xml:space="preserve"> PAGEREF _Toc428110544 \h </w:instrText>
            </w:r>
            <w:r w:rsidR="006E37B0">
              <w:rPr>
                <w:noProof/>
                <w:webHidden/>
              </w:rPr>
            </w:r>
            <w:r w:rsidR="006E37B0">
              <w:rPr>
                <w:noProof/>
                <w:webHidden/>
              </w:rPr>
              <w:fldChar w:fldCharType="separate"/>
            </w:r>
            <w:r w:rsidR="00910007">
              <w:rPr>
                <w:noProof/>
                <w:webHidden/>
              </w:rPr>
              <w:t>5</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45" w:history="1">
            <w:r w:rsidR="005C2127" w:rsidRPr="00394F5A">
              <w:rPr>
                <w:rStyle w:val="Hyperlink"/>
                <w:noProof/>
              </w:rPr>
              <w:t>Setting the Scene</w:t>
            </w:r>
            <w:r w:rsidR="005C2127">
              <w:rPr>
                <w:noProof/>
                <w:webHidden/>
              </w:rPr>
              <w:tab/>
            </w:r>
            <w:r w:rsidR="006E37B0">
              <w:rPr>
                <w:noProof/>
                <w:webHidden/>
              </w:rPr>
              <w:fldChar w:fldCharType="begin"/>
            </w:r>
            <w:r w:rsidR="005C2127">
              <w:rPr>
                <w:noProof/>
                <w:webHidden/>
              </w:rPr>
              <w:instrText xml:space="preserve"> PAGEREF _Toc428110545 \h </w:instrText>
            </w:r>
            <w:r w:rsidR="006E37B0">
              <w:rPr>
                <w:noProof/>
                <w:webHidden/>
              </w:rPr>
            </w:r>
            <w:r w:rsidR="006E37B0">
              <w:rPr>
                <w:noProof/>
                <w:webHidden/>
              </w:rPr>
              <w:fldChar w:fldCharType="separate"/>
            </w:r>
            <w:r w:rsidR="00910007">
              <w:rPr>
                <w:noProof/>
                <w:webHidden/>
              </w:rPr>
              <w:t>10</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46" w:history="1">
            <w:r w:rsidR="005C2127" w:rsidRPr="00394F5A">
              <w:rPr>
                <w:rStyle w:val="Hyperlink"/>
                <w:noProof/>
              </w:rPr>
              <w:t>Learning from the Word</w:t>
            </w:r>
            <w:r w:rsidR="005C2127">
              <w:rPr>
                <w:noProof/>
                <w:webHidden/>
              </w:rPr>
              <w:tab/>
            </w:r>
            <w:r w:rsidR="006E37B0">
              <w:rPr>
                <w:noProof/>
                <w:webHidden/>
              </w:rPr>
              <w:fldChar w:fldCharType="begin"/>
            </w:r>
            <w:r w:rsidR="005C2127">
              <w:rPr>
                <w:noProof/>
                <w:webHidden/>
              </w:rPr>
              <w:instrText xml:space="preserve"> PAGEREF _Toc428110546 \h </w:instrText>
            </w:r>
            <w:r w:rsidR="006E37B0">
              <w:rPr>
                <w:noProof/>
                <w:webHidden/>
              </w:rPr>
            </w:r>
            <w:r w:rsidR="006E37B0">
              <w:rPr>
                <w:noProof/>
                <w:webHidden/>
              </w:rPr>
              <w:fldChar w:fldCharType="separate"/>
            </w:r>
            <w:r w:rsidR="00910007">
              <w:rPr>
                <w:noProof/>
                <w:webHidden/>
              </w:rPr>
              <w:t>10</w:t>
            </w:r>
            <w:r w:rsidR="006E37B0">
              <w:rPr>
                <w:noProof/>
                <w:webHidden/>
              </w:rPr>
              <w:fldChar w:fldCharType="end"/>
            </w:r>
          </w:hyperlink>
        </w:p>
        <w:p w:rsidR="005C2127" w:rsidRDefault="00DD3C0E">
          <w:pPr>
            <w:pStyle w:val="TOC3"/>
            <w:tabs>
              <w:tab w:val="right" w:leader="dot" w:pos="9016"/>
            </w:tabs>
            <w:rPr>
              <w:i w:val="0"/>
              <w:iCs w:val="0"/>
              <w:smallCaps w:val="0"/>
              <w:noProof/>
            </w:rPr>
          </w:pPr>
          <w:hyperlink w:anchor="_Toc428110547" w:history="1">
            <w:r w:rsidR="005C2127" w:rsidRPr="00394F5A">
              <w:rPr>
                <w:rStyle w:val="Hyperlink"/>
                <w:noProof/>
              </w:rPr>
              <w:t>Diakon in the Gospels</w:t>
            </w:r>
            <w:r w:rsidR="005C2127">
              <w:rPr>
                <w:noProof/>
                <w:webHidden/>
              </w:rPr>
              <w:tab/>
            </w:r>
            <w:r w:rsidR="006E37B0">
              <w:rPr>
                <w:noProof/>
                <w:webHidden/>
              </w:rPr>
              <w:fldChar w:fldCharType="begin"/>
            </w:r>
            <w:r w:rsidR="005C2127">
              <w:rPr>
                <w:noProof/>
                <w:webHidden/>
              </w:rPr>
              <w:instrText xml:space="preserve"> PAGEREF _Toc428110547 \h </w:instrText>
            </w:r>
            <w:r w:rsidR="006E37B0">
              <w:rPr>
                <w:noProof/>
                <w:webHidden/>
              </w:rPr>
            </w:r>
            <w:r w:rsidR="006E37B0">
              <w:rPr>
                <w:noProof/>
                <w:webHidden/>
              </w:rPr>
              <w:fldChar w:fldCharType="separate"/>
            </w:r>
            <w:r w:rsidR="00910007">
              <w:rPr>
                <w:noProof/>
                <w:webHidden/>
              </w:rPr>
              <w:t>11</w:t>
            </w:r>
            <w:r w:rsidR="006E37B0">
              <w:rPr>
                <w:noProof/>
                <w:webHidden/>
              </w:rPr>
              <w:fldChar w:fldCharType="end"/>
            </w:r>
          </w:hyperlink>
        </w:p>
        <w:p w:rsidR="005C2127" w:rsidRDefault="00DD3C0E">
          <w:pPr>
            <w:pStyle w:val="TOC3"/>
            <w:tabs>
              <w:tab w:val="right" w:leader="dot" w:pos="9016"/>
            </w:tabs>
            <w:rPr>
              <w:i w:val="0"/>
              <w:iCs w:val="0"/>
              <w:smallCaps w:val="0"/>
              <w:noProof/>
            </w:rPr>
          </w:pPr>
          <w:hyperlink w:anchor="_Toc428110548" w:history="1">
            <w:r w:rsidR="005C2127" w:rsidRPr="00394F5A">
              <w:rPr>
                <w:rStyle w:val="Hyperlink"/>
                <w:noProof/>
              </w:rPr>
              <w:t>Paul as deacon and deacons in the Pauline tradition</w:t>
            </w:r>
            <w:r w:rsidR="005C2127">
              <w:rPr>
                <w:noProof/>
                <w:webHidden/>
              </w:rPr>
              <w:tab/>
            </w:r>
            <w:r w:rsidR="006E37B0">
              <w:rPr>
                <w:noProof/>
                <w:webHidden/>
              </w:rPr>
              <w:fldChar w:fldCharType="begin"/>
            </w:r>
            <w:r w:rsidR="005C2127">
              <w:rPr>
                <w:noProof/>
                <w:webHidden/>
              </w:rPr>
              <w:instrText xml:space="preserve"> PAGEREF _Toc428110548 \h </w:instrText>
            </w:r>
            <w:r w:rsidR="006E37B0">
              <w:rPr>
                <w:noProof/>
                <w:webHidden/>
              </w:rPr>
            </w:r>
            <w:r w:rsidR="006E37B0">
              <w:rPr>
                <w:noProof/>
                <w:webHidden/>
              </w:rPr>
              <w:fldChar w:fldCharType="separate"/>
            </w:r>
            <w:r w:rsidR="00910007">
              <w:rPr>
                <w:noProof/>
                <w:webHidden/>
              </w:rPr>
              <w:t>13</w:t>
            </w:r>
            <w:r w:rsidR="006E37B0">
              <w:rPr>
                <w:noProof/>
                <w:webHidden/>
              </w:rPr>
              <w:fldChar w:fldCharType="end"/>
            </w:r>
          </w:hyperlink>
        </w:p>
        <w:p w:rsidR="005C2127" w:rsidRDefault="00DD3C0E">
          <w:pPr>
            <w:pStyle w:val="TOC3"/>
            <w:tabs>
              <w:tab w:val="right" w:leader="dot" w:pos="9016"/>
            </w:tabs>
            <w:rPr>
              <w:i w:val="0"/>
              <w:iCs w:val="0"/>
              <w:smallCaps w:val="0"/>
              <w:noProof/>
            </w:rPr>
          </w:pPr>
          <w:hyperlink w:anchor="_Toc428110549" w:history="1">
            <w:r w:rsidR="005C2127" w:rsidRPr="00394F5A">
              <w:rPr>
                <w:rStyle w:val="Hyperlink"/>
                <w:noProof/>
              </w:rPr>
              <w:t>A word in Flux</w:t>
            </w:r>
            <w:r w:rsidR="005C2127">
              <w:rPr>
                <w:noProof/>
                <w:webHidden/>
              </w:rPr>
              <w:tab/>
            </w:r>
            <w:r w:rsidR="006E37B0">
              <w:rPr>
                <w:noProof/>
                <w:webHidden/>
              </w:rPr>
              <w:fldChar w:fldCharType="begin"/>
            </w:r>
            <w:r w:rsidR="005C2127">
              <w:rPr>
                <w:noProof/>
                <w:webHidden/>
              </w:rPr>
              <w:instrText xml:space="preserve"> PAGEREF _Toc428110549 \h </w:instrText>
            </w:r>
            <w:r w:rsidR="006E37B0">
              <w:rPr>
                <w:noProof/>
                <w:webHidden/>
              </w:rPr>
            </w:r>
            <w:r w:rsidR="006E37B0">
              <w:rPr>
                <w:noProof/>
                <w:webHidden/>
              </w:rPr>
              <w:fldChar w:fldCharType="separate"/>
            </w:r>
            <w:r w:rsidR="00910007">
              <w:rPr>
                <w:noProof/>
                <w:webHidden/>
              </w:rPr>
              <w:t>15</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0" w:history="1">
            <w:r w:rsidR="005C2127" w:rsidRPr="00394F5A">
              <w:rPr>
                <w:rStyle w:val="Hyperlink"/>
                <w:noProof/>
              </w:rPr>
              <w:t>The Diaconate in Contemporary Texts</w:t>
            </w:r>
            <w:r w:rsidR="005C2127">
              <w:rPr>
                <w:noProof/>
                <w:webHidden/>
              </w:rPr>
              <w:tab/>
            </w:r>
            <w:r w:rsidR="006E37B0">
              <w:rPr>
                <w:noProof/>
                <w:webHidden/>
              </w:rPr>
              <w:fldChar w:fldCharType="begin"/>
            </w:r>
            <w:r w:rsidR="005C2127">
              <w:rPr>
                <w:noProof/>
                <w:webHidden/>
              </w:rPr>
              <w:instrText xml:space="preserve"> PAGEREF _Toc428110550 \h </w:instrText>
            </w:r>
            <w:r w:rsidR="006E37B0">
              <w:rPr>
                <w:noProof/>
                <w:webHidden/>
              </w:rPr>
            </w:r>
            <w:r w:rsidR="006E37B0">
              <w:rPr>
                <w:noProof/>
                <w:webHidden/>
              </w:rPr>
              <w:fldChar w:fldCharType="separate"/>
            </w:r>
            <w:r w:rsidR="00910007">
              <w:rPr>
                <w:noProof/>
                <w:webHidden/>
              </w:rPr>
              <w:t>17</w:t>
            </w:r>
            <w:r w:rsidR="006E37B0">
              <w:rPr>
                <w:noProof/>
                <w:webHidden/>
              </w:rPr>
              <w:fldChar w:fldCharType="end"/>
            </w:r>
          </w:hyperlink>
        </w:p>
        <w:p w:rsidR="005C2127" w:rsidRDefault="00DD3C0E">
          <w:pPr>
            <w:pStyle w:val="TOC3"/>
            <w:tabs>
              <w:tab w:val="right" w:leader="dot" w:pos="9016"/>
            </w:tabs>
            <w:rPr>
              <w:i w:val="0"/>
              <w:iCs w:val="0"/>
              <w:smallCaps w:val="0"/>
              <w:noProof/>
            </w:rPr>
          </w:pPr>
          <w:hyperlink w:anchor="_Toc428110551" w:history="1">
            <w:r w:rsidR="005C2127" w:rsidRPr="00394F5A">
              <w:rPr>
                <w:rStyle w:val="Hyperlink"/>
                <w:noProof/>
              </w:rPr>
              <w:t>Conclusions:</w:t>
            </w:r>
            <w:r w:rsidR="005C2127">
              <w:rPr>
                <w:noProof/>
                <w:webHidden/>
              </w:rPr>
              <w:tab/>
            </w:r>
            <w:r w:rsidR="006E37B0">
              <w:rPr>
                <w:noProof/>
                <w:webHidden/>
              </w:rPr>
              <w:fldChar w:fldCharType="begin"/>
            </w:r>
            <w:r w:rsidR="005C2127">
              <w:rPr>
                <w:noProof/>
                <w:webHidden/>
              </w:rPr>
              <w:instrText xml:space="preserve"> PAGEREF _Toc428110551 \h </w:instrText>
            </w:r>
            <w:r w:rsidR="006E37B0">
              <w:rPr>
                <w:noProof/>
                <w:webHidden/>
              </w:rPr>
            </w:r>
            <w:r w:rsidR="006E37B0">
              <w:rPr>
                <w:noProof/>
                <w:webHidden/>
              </w:rPr>
              <w:fldChar w:fldCharType="separate"/>
            </w:r>
            <w:r w:rsidR="00910007">
              <w:rPr>
                <w:noProof/>
                <w:webHidden/>
              </w:rPr>
              <w:t>18</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2" w:history="1">
            <w:r w:rsidR="005C2127" w:rsidRPr="00394F5A">
              <w:rPr>
                <w:rStyle w:val="Hyperlink"/>
                <w:noProof/>
              </w:rPr>
              <w:t>The Multi-Faith Ministry –Context and Opportunities</w:t>
            </w:r>
            <w:r w:rsidR="005C2127">
              <w:rPr>
                <w:noProof/>
                <w:webHidden/>
              </w:rPr>
              <w:tab/>
            </w:r>
            <w:r w:rsidR="006E37B0">
              <w:rPr>
                <w:noProof/>
                <w:webHidden/>
              </w:rPr>
              <w:fldChar w:fldCharType="begin"/>
            </w:r>
            <w:r w:rsidR="005C2127">
              <w:rPr>
                <w:noProof/>
                <w:webHidden/>
              </w:rPr>
              <w:instrText xml:space="preserve"> PAGEREF _Toc428110552 \h </w:instrText>
            </w:r>
            <w:r w:rsidR="006E37B0">
              <w:rPr>
                <w:noProof/>
                <w:webHidden/>
              </w:rPr>
            </w:r>
            <w:r w:rsidR="006E37B0">
              <w:rPr>
                <w:noProof/>
                <w:webHidden/>
              </w:rPr>
              <w:fldChar w:fldCharType="separate"/>
            </w:r>
            <w:r w:rsidR="00910007">
              <w:rPr>
                <w:noProof/>
                <w:webHidden/>
              </w:rPr>
              <w:t>21</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53" w:history="1">
            <w:r w:rsidR="005C2127" w:rsidRPr="00394F5A">
              <w:rPr>
                <w:rStyle w:val="Hyperlink"/>
                <w:noProof/>
              </w:rPr>
              <w:t>Research Methods</w:t>
            </w:r>
            <w:r w:rsidR="005C2127">
              <w:rPr>
                <w:noProof/>
                <w:webHidden/>
              </w:rPr>
              <w:tab/>
            </w:r>
            <w:r w:rsidR="006E37B0">
              <w:rPr>
                <w:noProof/>
                <w:webHidden/>
              </w:rPr>
              <w:fldChar w:fldCharType="begin"/>
            </w:r>
            <w:r w:rsidR="005C2127">
              <w:rPr>
                <w:noProof/>
                <w:webHidden/>
              </w:rPr>
              <w:instrText xml:space="preserve"> PAGEREF _Toc428110553 \h </w:instrText>
            </w:r>
            <w:r w:rsidR="006E37B0">
              <w:rPr>
                <w:noProof/>
                <w:webHidden/>
              </w:rPr>
            </w:r>
            <w:r w:rsidR="006E37B0">
              <w:rPr>
                <w:noProof/>
                <w:webHidden/>
              </w:rPr>
              <w:fldChar w:fldCharType="separate"/>
            </w:r>
            <w:r w:rsidR="00910007">
              <w:rPr>
                <w:noProof/>
                <w:webHidden/>
              </w:rPr>
              <w:t>28</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54" w:history="1">
            <w:r w:rsidR="005C2127" w:rsidRPr="00394F5A">
              <w:rPr>
                <w:rStyle w:val="Hyperlink"/>
                <w:noProof/>
              </w:rPr>
              <w:t>Questionnaire Responses</w:t>
            </w:r>
            <w:r w:rsidR="005C2127">
              <w:rPr>
                <w:noProof/>
                <w:webHidden/>
              </w:rPr>
              <w:tab/>
            </w:r>
            <w:r w:rsidR="006E37B0">
              <w:rPr>
                <w:noProof/>
                <w:webHidden/>
              </w:rPr>
              <w:fldChar w:fldCharType="begin"/>
            </w:r>
            <w:r w:rsidR="005C2127">
              <w:rPr>
                <w:noProof/>
                <w:webHidden/>
              </w:rPr>
              <w:instrText xml:space="preserve"> PAGEREF _Toc428110554 \h </w:instrText>
            </w:r>
            <w:r w:rsidR="006E37B0">
              <w:rPr>
                <w:noProof/>
                <w:webHidden/>
              </w:rPr>
            </w:r>
            <w:r w:rsidR="006E37B0">
              <w:rPr>
                <w:noProof/>
                <w:webHidden/>
              </w:rPr>
              <w:fldChar w:fldCharType="separate"/>
            </w:r>
            <w:r w:rsidR="00910007">
              <w:rPr>
                <w:noProof/>
                <w:webHidden/>
              </w:rPr>
              <w:t>29</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5" w:history="1">
            <w:r w:rsidR="005C2127" w:rsidRPr="00394F5A">
              <w:rPr>
                <w:rStyle w:val="Hyperlink"/>
                <w:noProof/>
              </w:rPr>
              <w:t>1. Responses to Descriptors of Deacons from the Literature Review</w:t>
            </w:r>
            <w:r w:rsidR="005C2127">
              <w:rPr>
                <w:noProof/>
                <w:webHidden/>
              </w:rPr>
              <w:tab/>
            </w:r>
            <w:r w:rsidR="006E37B0">
              <w:rPr>
                <w:noProof/>
                <w:webHidden/>
              </w:rPr>
              <w:fldChar w:fldCharType="begin"/>
            </w:r>
            <w:r w:rsidR="005C2127">
              <w:rPr>
                <w:noProof/>
                <w:webHidden/>
              </w:rPr>
              <w:instrText xml:space="preserve"> PAGEREF _Toc428110555 \h </w:instrText>
            </w:r>
            <w:r w:rsidR="006E37B0">
              <w:rPr>
                <w:noProof/>
                <w:webHidden/>
              </w:rPr>
            </w:r>
            <w:r w:rsidR="006E37B0">
              <w:rPr>
                <w:noProof/>
                <w:webHidden/>
              </w:rPr>
              <w:fldChar w:fldCharType="separate"/>
            </w:r>
            <w:r w:rsidR="00910007">
              <w:rPr>
                <w:noProof/>
                <w:webHidden/>
              </w:rPr>
              <w:t>29</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6" w:history="1">
            <w:r w:rsidR="005C2127" w:rsidRPr="00394F5A">
              <w:rPr>
                <w:rStyle w:val="Hyperlink"/>
                <w:noProof/>
              </w:rPr>
              <w:t>2. Could these descriptors be applied to the facets of ministry in a multi-faith context?</w:t>
            </w:r>
            <w:r w:rsidR="005C2127">
              <w:rPr>
                <w:noProof/>
                <w:webHidden/>
              </w:rPr>
              <w:tab/>
            </w:r>
            <w:r w:rsidR="006E37B0">
              <w:rPr>
                <w:noProof/>
                <w:webHidden/>
              </w:rPr>
              <w:fldChar w:fldCharType="begin"/>
            </w:r>
            <w:r w:rsidR="005C2127">
              <w:rPr>
                <w:noProof/>
                <w:webHidden/>
              </w:rPr>
              <w:instrText xml:space="preserve"> PAGEREF _Toc428110556 \h </w:instrText>
            </w:r>
            <w:r w:rsidR="006E37B0">
              <w:rPr>
                <w:noProof/>
                <w:webHidden/>
              </w:rPr>
            </w:r>
            <w:r w:rsidR="006E37B0">
              <w:rPr>
                <w:noProof/>
                <w:webHidden/>
              </w:rPr>
              <w:fldChar w:fldCharType="separate"/>
            </w:r>
            <w:r w:rsidR="00910007">
              <w:rPr>
                <w:noProof/>
                <w:webHidden/>
              </w:rPr>
              <w:t>32</w:t>
            </w:r>
            <w:r w:rsidR="006E37B0">
              <w:rPr>
                <w:noProof/>
                <w:webHidden/>
              </w:rPr>
              <w:fldChar w:fldCharType="end"/>
            </w:r>
          </w:hyperlink>
        </w:p>
        <w:p w:rsidR="005C2127" w:rsidRDefault="00DD3C0E">
          <w:pPr>
            <w:pStyle w:val="TOC3"/>
            <w:tabs>
              <w:tab w:val="right" w:leader="dot" w:pos="9016"/>
            </w:tabs>
            <w:rPr>
              <w:i w:val="0"/>
              <w:iCs w:val="0"/>
              <w:smallCaps w:val="0"/>
              <w:noProof/>
            </w:rPr>
          </w:pPr>
          <w:hyperlink w:anchor="_Toc428110557" w:history="1">
            <w:r w:rsidR="005C2127" w:rsidRPr="00394F5A">
              <w:rPr>
                <w:rStyle w:val="Hyperlink"/>
                <w:noProof/>
              </w:rPr>
              <w:t>3. Additional Descriptors for Deacons and Ministry in a Multi-Faith Context</w:t>
            </w:r>
            <w:r w:rsidR="005C2127">
              <w:rPr>
                <w:noProof/>
                <w:webHidden/>
              </w:rPr>
              <w:tab/>
            </w:r>
            <w:r w:rsidR="006E37B0">
              <w:rPr>
                <w:noProof/>
                <w:webHidden/>
              </w:rPr>
              <w:fldChar w:fldCharType="begin"/>
            </w:r>
            <w:r w:rsidR="005C2127">
              <w:rPr>
                <w:noProof/>
                <w:webHidden/>
              </w:rPr>
              <w:instrText xml:space="preserve"> PAGEREF _Toc428110557 \h </w:instrText>
            </w:r>
            <w:r w:rsidR="006E37B0">
              <w:rPr>
                <w:noProof/>
                <w:webHidden/>
              </w:rPr>
            </w:r>
            <w:r w:rsidR="006E37B0">
              <w:rPr>
                <w:noProof/>
                <w:webHidden/>
              </w:rPr>
              <w:fldChar w:fldCharType="separate"/>
            </w:r>
            <w:r w:rsidR="00910007">
              <w:rPr>
                <w:noProof/>
                <w:webHidden/>
              </w:rPr>
              <w:t>34</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8" w:history="1">
            <w:r w:rsidR="005C2127" w:rsidRPr="00394F5A">
              <w:rPr>
                <w:rStyle w:val="Hyperlink"/>
                <w:noProof/>
              </w:rPr>
              <w:t>4. Distinctiveness in diaconal and multi-faith ministry</w:t>
            </w:r>
            <w:r w:rsidR="005C2127">
              <w:rPr>
                <w:noProof/>
                <w:webHidden/>
              </w:rPr>
              <w:tab/>
            </w:r>
            <w:r w:rsidR="006E37B0">
              <w:rPr>
                <w:noProof/>
                <w:webHidden/>
              </w:rPr>
              <w:fldChar w:fldCharType="begin"/>
            </w:r>
            <w:r w:rsidR="005C2127">
              <w:rPr>
                <w:noProof/>
                <w:webHidden/>
              </w:rPr>
              <w:instrText xml:space="preserve"> PAGEREF _Toc428110558 \h </w:instrText>
            </w:r>
            <w:r w:rsidR="006E37B0">
              <w:rPr>
                <w:noProof/>
                <w:webHidden/>
              </w:rPr>
            </w:r>
            <w:r w:rsidR="006E37B0">
              <w:rPr>
                <w:noProof/>
                <w:webHidden/>
              </w:rPr>
              <w:fldChar w:fldCharType="separate"/>
            </w:r>
            <w:r w:rsidR="00910007">
              <w:rPr>
                <w:noProof/>
                <w:webHidden/>
              </w:rPr>
              <w:t>34</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59" w:history="1">
            <w:r w:rsidR="005C2127" w:rsidRPr="00394F5A">
              <w:rPr>
                <w:rStyle w:val="Hyperlink"/>
                <w:noProof/>
              </w:rPr>
              <w:t>Conclusions</w:t>
            </w:r>
            <w:r w:rsidR="005C2127">
              <w:rPr>
                <w:noProof/>
                <w:webHidden/>
              </w:rPr>
              <w:tab/>
            </w:r>
            <w:r w:rsidR="006E37B0">
              <w:rPr>
                <w:noProof/>
                <w:webHidden/>
              </w:rPr>
              <w:fldChar w:fldCharType="begin"/>
            </w:r>
            <w:r w:rsidR="005C2127">
              <w:rPr>
                <w:noProof/>
                <w:webHidden/>
              </w:rPr>
              <w:instrText xml:space="preserve"> PAGEREF _Toc428110559 \h </w:instrText>
            </w:r>
            <w:r w:rsidR="006E37B0">
              <w:rPr>
                <w:noProof/>
                <w:webHidden/>
              </w:rPr>
            </w:r>
            <w:r w:rsidR="006E37B0">
              <w:rPr>
                <w:noProof/>
                <w:webHidden/>
              </w:rPr>
              <w:fldChar w:fldCharType="separate"/>
            </w:r>
            <w:r w:rsidR="00910007">
              <w:rPr>
                <w:noProof/>
                <w:webHidden/>
              </w:rPr>
              <w:t>37</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60" w:history="1">
            <w:r w:rsidR="005C2127" w:rsidRPr="00394F5A">
              <w:rPr>
                <w:rStyle w:val="Hyperlink"/>
                <w:rFonts w:eastAsia="Times New Roman" w:cs="Arial"/>
                <w:noProof/>
              </w:rPr>
              <w:t>Virtues of diakonia in an Interfaith Context.</w:t>
            </w:r>
            <w:r w:rsidR="005C2127">
              <w:rPr>
                <w:noProof/>
                <w:webHidden/>
              </w:rPr>
              <w:tab/>
            </w:r>
            <w:r w:rsidR="006E37B0">
              <w:rPr>
                <w:noProof/>
                <w:webHidden/>
              </w:rPr>
              <w:fldChar w:fldCharType="begin"/>
            </w:r>
            <w:r w:rsidR="005C2127">
              <w:rPr>
                <w:noProof/>
                <w:webHidden/>
              </w:rPr>
              <w:instrText xml:space="preserve"> PAGEREF _Toc428110560 \h </w:instrText>
            </w:r>
            <w:r w:rsidR="006E37B0">
              <w:rPr>
                <w:noProof/>
                <w:webHidden/>
              </w:rPr>
            </w:r>
            <w:r w:rsidR="006E37B0">
              <w:rPr>
                <w:noProof/>
                <w:webHidden/>
              </w:rPr>
              <w:fldChar w:fldCharType="separate"/>
            </w:r>
            <w:r w:rsidR="00910007">
              <w:rPr>
                <w:noProof/>
                <w:webHidden/>
              </w:rPr>
              <w:t>38</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1" w:history="1">
            <w:r w:rsidR="005C2127" w:rsidRPr="00394F5A">
              <w:rPr>
                <w:rStyle w:val="Hyperlink"/>
                <w:rFonts w:eastAsia="Times New Roman" w:cs="Arial"/>
                <w:noProof/>
              </w:rPr>
              <w:t>HUMILITY</w:t>
            </w:r>
            <w:r w:rsidR="005C2127">
              <w:rPr>
                <w:noProof/>
                <w:webHidden/>
              </w:rPr>
              <w:tab/>
            </w:r>
            <w:r w:rsidR="006E37B0">
              <w:rPr>
                <w:noProof/>
                <w:webHidden/>
              </w:rPr>
              <w:fldChar w:fldCharType="begin"/>
            </w:r>
            <w:r w:rsidR="005C2127">
              <w:rPr>
                <w:noProof/>
                <w:webHidden/>
              </w:rPr>
              <w:instrText xml:space="preserve"> PAGEREF _Toc428110561 \h </w:instrText>
            </w:r>
            <w:r w:rsidR="006E37B0">
              <w:rPr>
                <w:noProof/>
                <w:webHidden/>
              </w:rPr>
            </w:r>
            <w:r w:rsidR="006E37B0">
              <w:rPr>
                <w:noProof/>
                <w:webHidden/>
              </w:rPr>
              <w:fldChar w:fldCharType="separate"/>
            </w:r>
            <w:r w:rsidR="00910007">
              <w:rPr>
                <w:noProof/>
                <w:webHidden/>
              </w:rPr>
              <w:t>39</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2" w:history="1">
            <w:r w:rsidR="005C2127" w:rsidRPr="00394F5A">
              <w:rPr>
                <w:rStyle w:val="Hyperlink"/>
                <w:rFonts w:eastAsia="Times New Roman" w:cs="Arial"/>
                <w:noProof/>
              </w:rPr>
              <w:t>COMMITMENT</w:t>
            </w:r>
            <w:r w:rsidR="005C2127">
              <w:rPr>
                <w:noProof/>
                <w:webHidden/>
              </w:rPr>
              <w:tab/>
            </w:r>
            <w:r w:rsidR="006E37B0">
              <w:rPr>
                <w:noProof/>
                <w:webHidden/>
              </w:rPr>
              <w:fldChar w:fldCharType="begin"/>
            </w:r>
            <w:r w:rsidR="005C2127">
              <w:rPr>
                <w:noProof/>
                <w:webHidden/>
              </w:rPr>
              <w:instrText xml:space="preserve"> PAGEREF _Toc428110562 \h </w:instrText>
            </w:r>
            <w:r w:rsidR="006E37B0">
              <w:rPr>
                <w:noProof/>
                <w:webHidden/>
              </w:rPr>
            </w:r>
            <w:r w:rsidR="006E37B0">
              <w:rPr>
                <w:noProof/>
                <w:webHidden/>
              </w:rPr>
              <w:fldChar w:fldCharType="separate"/>
            </w:r>
            <w:r w:rsidR="00910007">
              <w:rPr>
                <w:noProof/>
                <w:webHidden/>
              </w:rPr>
              <w:t>41</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3" w:history="1">
            <w:r w:rsidR="005C2127" w:rsidRPr="00394F5A">
              <w:rPr>
                <w:rStyle w:val="Hyperlink"/>
                <w:rFonts w:eastAsia="Times New Roman" w:cs="Arial"/>
                <w:noProof/>
              </w:rPr>
              <w:t>INTERCONNECTION</w:t>
            </w:r>
            <w:r w:rsidR="005C2127">
              <w:rPr>
                <w:noProof/>
                <w:webHidden/>
              </w:rPr>
              <w:tab/>
            </w:r>
            <w:r w:rsidR="006E37B0">
              <w:rPr>
                <w:noProof/>
                <w:webHidden/>
              </w:rPr>
              <w:fldChar w:fldCharType="begin"/>
            </w:r>
            <w:r w:rsidR="005C2127">
              <w:rPr>
                <w:noProof/>
                <w:webHidden/>
              </w:rPr>
              <w:instrText xml:space="preserve"> PAGEREF _Toc428110563 \h </w:instrText>
            </w:r>
            <w:r w:rsidR="006E37B0">
              <w:rPr>
                <w:noProof/>
                <w:webHidden/>
              </w:rPr>
            </w:r>
            <w:r w:rsidR="006E37B0">
              <w:rPr>
                <w:noProof/>
                <w:webHidden/>
              </w:rPr>
              <w:fldChar w:fldCharType="separate"/>
            </w:r>
            <w:r w:rsidR="00910007">
              <w:rPr>
                <w:noProof/>
                <w:webHidden/>
              </w:rPr>
              <w:t>42</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4" w:history="1">
            <w:r w:rsidR="005C2127" w:rsidRPr="00394F5A">
              <w:rPr>
                <w:rStyle w:val="Hyperlink"/>
                <w:rFonts w:eastAsia="Times New Roman" w:cs="Arial"/>
                <w:noProof/>
              </w:rPr>
              <w:t>EMPATHY</w:t>
            </w:r>
            <w:r w:rsidR="005C2127">
              <w:rPr>
                <w:noProof/>
                <w:webHidden/>
              </w:rPr>
              <w:tab/>
            </w:r>
            <w:r w:rsidR="006E37B0">
              <w:rPr>
                <w:noProof/>
                <w:webHidden/>
              </w:rPr>
              <w:fldChar w:fldCharType="begin"/>
            </w:r>
            <w:r w:rsidR="005C2127">
              <w:rPr>
                <w:noProof/>
                <w:webHidden/>
              </w:rPr>
              <w:instrText xml:space="preserve"> PAGEREF _Toc428110564 \h </w:instrText>
            </w:r>
            <w:r w:rsidR="006E37B0">
              <w:rPr>
                <w:noProof/>
                <w:webHidden/>
              </w:rPr>
            </w:r>
            <w:r w:rsidR="006E37B0">
              <w:rPr>
                <w:noProof/>
                <w:webHidden/>
              </w:rPr>
              <w:fldChar w:fldCharType="separate"/>
            </w:r>
            <w:r w:rsidR="00910007">
              <w:rPr>
                <w:noProof/>
                <w:webHidden/>
              </w:rPr>
              <w:t>44</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5" w:history="1">
            <w:r w:rsidR="005C2127" w:rsidRPr="00394F5A">
              <w:rPr>
                <w:rStyle w:val="Hyperlink"/>
                <w:rFonts w:eastAsia="Times New Roman" w:cs="Arial"/>
                <w:noProof/>
              </w:rPr>
              <w:t>HOSPITALITY</w:t>
            </w:r>
            <w:r w:rsidR="005C2127">
              <w:rPr>
                <w:noProof/>
                <w:webHidden/>
              </w:rPr>
              <w:tab/>
            </w:r>
            <w:r w:rsidR="006E37B0">
              <w:rPr>
                <w:noProof/>
                <w:webHidden/>
              </w:rPr>
              <w:fldChar w:fldCharType="begin"/>
            </w:r>
            <w:r w:rsidR="005C2127">
              <w:rPr>
                <w:noProof/>
                <w:webHidden/>
              </w:rPr>
              <w:instrText xml:space="preserve"> PAGEREF _Toc428110565 \h </w:instrText>
            </w:r>
            <w:r w:rsidR="006E37B0">
              <w:rPr>
                <w:noProof/>
                <w:webHidden/>
              </w:rPr>
            </w:r>
            <w:r w:rsidR="006E37B0">
              <w:rPr>
                <w:noProof/>
                <w:webHidden/>
              </w:rPr>
              <w:fldChar w:fldCharType="separate"/>
            </w:r>
            <w:r w:rsidR="00910007">
              <w:rPr>
                <w:noProof/>
                <w:webHidden/>
              </w:rPr>
              <w:t>46</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66" w:history="1">
            <w:r w:rsidR="005C2127" w:rsidRPr="00394F5A">
              <w:rPr>
                <w:rStyle w:val="Hyperlink"/>
                <w:rFonts w:eastAsia="Times New Roman" w:cs="Arial"/>
                <w:noProof/>
              </w:rPr>
              <w:t>Conclusions</w:t>
            </w:r>
            <w:r w:rsidR="005C2127">
              <w:rPr>
                <w:noProof/>
                <w:webHidden/>
              </w:rPr>
              <w:tab/>
            </w:r>
            <w:r w:rsidR="006E37B0">
              <w:rPr>
                <w:noProof/>
                <w:webHidden/>
              </w:rPr>
              <w:fldChar w:fldCharType="begin"/>
            </w:r>
            <w:r w:rsidR="005C2127">
              <w:rPr>
                <w:noProof/>
                <w:webHidden/>
              </w:rPr>
              <w:instrText xml:space="preserve"> PAGEREF _Toc428110566 \h </w:instrText>
            </w:r>
            <w:r w:rsidR="006E37B0">
              <w:rPr>
                <w:noProof/>
                <w:webHidden/>
              </w:rPr>
            </w:r>
            <w:r w:rsidR="006E37B0">
              <w:rPr>
                <w:noProof/>
                <w:webHidden/>
              </w:rPr>
              <w:fldChar w:fldCharType="separate"/>
            </w:r>
            <w:r w:rsidR="00910007">
              <w:rPr>
                <w:noProof/>
                <w:webHidden/>
              </w:rPr>
              <w:t>49</w:t>
            </w:r>
            <w:r w:rsidR="006E37B0">
              <w:rPr>
                <w:noProof/>
                <w:webHidden/>
              </w:rPr>
              <w:fldChar w:fldCharType="end"/>
            </w:r>
          </w:hyperlink>
        </w:p>
        <w:p w:rsidR="005C2127" w:rsidRDefault="00DD3C0E">
          <w:pPr>
            <w:pStyle w:val="TOC1"/>
            <w:tabs>
              <w:tab w:val="right" w:leader="dot" w:pos="9016"/>
            </w:tabs>
            <w:rPr>
              <w:b w:val="0"/>
              <w:bCs w:val="0"/>
              <w:i w:val="0"/>
              <w:iCs w:val="0"/>
              <w:caps w:val="0"/>
              <w:noProof/>
              <w:u w:val="none"/>
            </w:rPr>
          </w:pPr>
          <w:hyperlink w:anchor="_Toc428110567" w:history="1">
            <w:r w:rsidR="005C2127" w:rsidRPr="00394F5A">
              <w:rPr>
                <w:rStyle w:val="Hyperlink"/>
                <w:rFonts w:eastAsia="Times New Roman" w:cs="Arial"/>
                <w:noProof/>
              </w:rPr>
              <w:t>Bibliography</w:t>
            </w:r>
            <w:r w:rsidR="005C2127">
              <w:rPr>
                <w:noProof/>
                <w:webHidden/>
              </w:rPr>
              <w:tab/>
            </w:r>
            <w:r w:rsidR="006E37B0">
              <w:rPr>
                <w:noProof/>
                <w:webHidden/>
              </w:rPr>
              <w:fldChar w:fldCharType="begin"/>
            </w:r>
            <w:r w:rsidR="005C2127">
              <w:rPr>
                <w:noProof/>
                <w:webHidden/>
              </w:rPr>
              <w:instrText xml:space="preserve"> PAGEREF _Toc428110567 \h </w:instrText>
            </w:r>
            <w:r w:rsidR="006E37B0">
              <w:rPr>
                <w:noProof/>
                <w:webHidden/>
              </w:rPr>
            </w:r>
            <w:r w:rsidR="006E37B0">
              <w:rPr>
                <w:noProof/>
                <w:webHidden/>
              </w:rPr>
              <w:fldChar w:fldCharType="separate"/>
            </w:r>
            <w:r w:rsidR="00910007">
              <w:rPr>
                <w:noProof/>
                <w:webHidden/>
              </w:rPr>
              <w:t>54</w:t>
            </w:r>
            <w:r w:rsidR="006E37B0">
              <w:rPr>
                <w:noProof/>
                <w:webHidden/>
              </w:rPr>
              <w:fldChar w:fldCharType="end"/>
            </w:r>
          </w:hyperlink>
        </w:p>
        <w:p w:rsidR="005C2127" w:rsidRDefault="00DD3C0E">
          <w:pPr>
            <w:pStyle w:val="TOC2"/>
            <w:tabs>
              <w:tab w:val="right" w:leader="dot" w:pos="9016"/>
            </w:tabs>
            <w:rPr>
              <w:b w:val="0"/>
              <w:bCs w:val="0"/>
              <w:i w:val="0"/>
              <w:iCs w:val="0"/>
              <w:smallCaps w:val="0"/>
              <w:noProof/>
            </w:rPr>
          </w:pPr>
          <w:hyperlink w:anchor="_Toc428110568" w:history="1">
            <w:r w:rsidR="005C2127" w:rsidRPr="00394F5A">
              <w:rPr>
                <w:rStyle w:val="Hyperlink"/>
                <w:noProof/>
              </w:rPr>
              <w:t>Webliography</w:t>
            </w:r>
            <w:r w:rsidR="005C2127">
              <w:rPr>
                <w:noProof/>
                <w:webHidden/>
              </w:rPr>
              <w:tab/>
            </w:r>
            <w:r w:rsidR="006E37B0">
              <w:rPr>
                <w:noProof/>
                <w:webHidden/>
              </w:rPr>
              <w:fldChar w:fldCharType="begin"/>
            </w:r>
            <w:r w:rsidR="005C2127">
              <w:rPr>
                <w:noProof/>
                <w:webHidden/>
              </w:rPr>
              <w:instrText xml:space="preserve"> PAGEREF _Toc428110568 \h </w:instrText>
            </w:r>
            <w:r w:rsidR="006E37B0">
              <w:rPr>
                <w:noProof/>
                <w:webHidden/>
              </w:rPr>
            </w:r>
            <w:r w:rsidR="006E37B0">
              <w:rPr>
                <w:noProof/>
                <w:webHidden/>
              </w:rPr>
              <w:fldChar w:fldCharType="separate"/>
            </w:r>
            <w:r w:rsidR="00910007">
              <w:rPr>
                <w:noProof/>
                <w:webHidden/>
              </w:rPr>
              <w:t>54</w:t>
            </w:r>
            <w:r w:rsidR="006E37B0">
              <w:rPr>
                <w:noProof/>
                <w:webHidden/>
              </w:rPr>
              <w:fldChar w:fldCharType="end"/>
            </w:r>
          </w:hyperlink>
        </w:p>
        <w:p w:rsidR="00CB7406" w:rsidRDefault="006E37B0" w:rsidP="00CB7406">
          <w:pPr>
            <w:spacing w:before="200"/>
            <w:rPr>
              <w:noProof/>
            </w:rPr>
          </w:pPr>
          <w:r>
            <w:rPr>
              <w:b/>
              <w:bCs/>
              <w:noProof/>
            </w:rPr>
            <w:fldChar w:fldCharType="end"/>
          </w:r>
        </w:p>
      </w:sdtContent>
    </w:sdt>
    <w:p w:rsidR="00BC2BC0" w:rsidRDefault="00BC2BC0">
      <w:pPr>
        <w:rPr>
          <w:b/>
          <w:sz w:val="28"/>
          <w:szCs w:val="28"/>
        </w:rPr>
      </w:pPr>
      <w:r>
        <w:rPr>
          <w:b/>
          <w:sz w:val="28"/>
          <w:szCs w:val="28"/>
        </w:rPr>
        <w:t>Dissertation Appendices</w:t>
      </w:r>
    </w:p>
    <w:p w:rsidR="000E52E0" w:rsidRDefault="00BC2BC0">
      <w:pPr>
        <w:rPr>
          <w:b/>
          <w:sz w:val="28"/>
          <w:szCs w:val="28"/>
        </w:rPr>
      </w:pPr>
      <w:r>
        <w:rPr>
          <w:b/>
          <w:sz w:val="28"/>
          <w:szCs w:val="28"/>
        </w:rPr>
        <w:t>Appendix 1</w:t>
      </w:r>
      <w:r>
        <w:rPr>
          <w:b/>
          <w:sz w:val="28"/>
          <w:szCs w:val="28"/>
        </w:rPr>
        <w:tab/>
        <w:t xml:space="preserve">Descriptors drawn from Anglican Formational </w:t>
      </w:r>
      <w:r w:rsidR="000239DD">
        <w:rPr>
          <w:b/>
          <w:sz w:val="28"/>
          <w:szCs w:val="28"/>
        </w:rPr>
        <w:t>T</w:t>
      </w:r>
      <w:r>
        <w:rPr>
          <w:b/>
          <w:sz w:val="28"/>
          <w:szCs w:val="28"/>
        </w:rPr>
        <w:t xml:space="preserve">exts </w:t>
      </w:r>
      <w:r>
        <w:rPr>
          <w:b/>
          <w:sz w:val="28"/>
          <w:szCs w:val="28"/>
        </w:rPr>
        <w:tab/>
        <w:t xml:space="preserve">         </w:t>
      </w:r>
      <w:r>
        <w:rPr>
          <w:b/>
          <w:sz w:val="28"/>
          <w:szCs w:val="28"/>
        </w:rPr>
        <w:tab/>
        <w:t>i</w:t>
      </w:r>
      <w:r w:rsidR="002F634F">
        <w:rPr>
          <w:b/>
          <w:sz w:val="28"/>
          <w:szCs w:val="28"/>
        </w:rPr>
        <w:t>i</w:t>
      </w:r>
      <w:r>
        <w:rPr>
          <w:b/>
          <w:sz w:val="28"/>
          <w:szCs w:val="28"/>
        </w:rPr>
        <w:br/>
        <w:t xml:space="preserve">Appendix 2 Additional </w:t>
      </w:r>
      <w:r w:rsidR="000239DD">
        <w:rPr>
          <w:b/>
          <w:sz w:val="28"/>
          <w:szCs w:val="28"/>
        </w:rPr>
        <w:t>D</w:t>
      </w:r>
      <w:r>
        <w:rPr>
          <w:b/>
          <w:sz w:val="28"/>
          <w:szCs w:val="28"/>
        </w:rPr>
        <w:t xml:space="preserve">escriptors from </w:t>
      </w:r>
      <w:r w:rsidR="000239DD">
        <w:rPr>
          <w:b/>
          <w:sz w:val="28"/>
          <w:szCs w:val="28"/>
        </w:rPr>
        <w:t>C</w:t>
      </w:r>
      <w:r>
        <w:rPr>
          <w:b/>
          <w:sz w:val="28"/>
          <w:szCs w:val="28"/>
        </w:rPr>
        <w:t xml:space="preserve">ontemporary </w:t>
      </w:r>
      <w:r w:rsidR="000239DD">
        <w:rPr>
          <w:b/>
          <w:sz w:val="28"/>
          <w:szCs w:val="28"/>
        </w:rPr>
        <w:t>T</w:t>
      </w:r>
      <w:r>
        <w:rPr>
          <w:b/>
          <w:sz w:val="28"/>
          <w:szCs w:val="28"/>
        </w:rPr>
        <w:t>exts</w:t>
      </w:r>
      <w:r>
        <w:rPr>
          <w:b/>
          <w:sz w:val="28"/>
          <w:szCs w:val="28"/>
        </w:rPr>
        <w:tab/>
      </w:r>
      <w:r>
        <w:rPr>
          <w:b/>
          <w:sz w:val="28"/>
          <w:szCs w:val="28"/>
        </w:rPr>
        <w:tab/>
      </w:r>
      <w:r>
        <w:rPr>
          <w:b/>
          <w:sz w:val="28"/>
          <w:szCs w:val="28"/>
        </w:rPr>
        <w:tab/>
        <w:t>x</w:t>
      </w:r>
      <w:r>
        <w:rPr>
          <w:b/>
          <w:sz w:val="28"/>
          <w:szCs w:val="28"/>
        </w:rPr>
        <w:br/>
      </w:r>
      <w:r w:rsidR="00FB4E1F">
        <w:rPr>
          <w:b/>
          <w:sz w:val="28"/>
          <w:szCs w:val="28"/>
        </w:rPr>
        <w:t>Appendix 3 The Questionnaire</w:t>
      </w:r>
      <w:r w:rsidR="00FB4E1F">
        <w:rPr>
          <w:b/>
          <w:sz w:val="28"/>
          <w:szCs w:val="28"/>
        </w:rPr>
        <w:tab/>
      </w:r>
      <w:r w:rsidR="00FB4E1F">
        <w:rPr>
          <w:b/>
          <w:sz w:val="28"/>
          <w:szCs w:val="28"/>
        </w:rPr>
        <w:tab/>
      </w:r>
      <w:r w:rsidR="00FB4E1F">
        <w:rPr>
          <w:b/>
          <w:sz w:val="28"/>
          <w:szCs w:val="28"/>
        </w:rPr>
        <w:tab/>
      </w:r>
      <w:r w:rsidR="00FB4E1F">
        <w:rPr>
          <w:b/>
          <w:sz w:val="28"/>
          <w:szCs w:val="28"/>
        </w:rPr>
        <w:tab/>
      </w:r>
      <w:r w:rsidR="00FB4E1F">
        <w:rPr>
          <w:b/>
          <w:sz w:val="28"/>
          <w:szCs w:val="28"/>
        </w:rPr>
        <w:tab/>
      </w:r>
      <w:r w:rsidR="00FB4E1F">
        <w:rPr>
          <w:b/>
          <w:sz w:val="28"/>
          <w:szCs w:val="28"/>
        </w:rPr>
        <w:tab/>
      </w:r>
      <w:r w:rsidR="00FB4E1F">
        <w:rPr>
          <w:b/>
          <w:sz w:val="28"/>
          <w:szCs w:val="28"/>
        </w:rPr>
        <w:tab/>
      </w:r>
      <w:r w:rsidR="00FB4E1F">
        <w:rPr>
          <w:b/>
          <w:sz w:val="28"/>
          <w:szCs w:val="28"/>
        </w:rPr>
        <w:tab/>
        <w:t>xv</w:t>
      </w:r>
      <w:r w:rsidR="00FB4E1F">
        <w:rPr>
          <w:b/>
          <w:sz w:val="28"/>
          <w:szCs w:val="28"/>
        </w:rPr>
        <w:br/>
      </w:r>
      <w:r w:rsidR="000E52E0">
        <w:rPr>
          <w:b/>
          <w:sz w:val="28"/>
          <w:szCs w:val="28"/>
        </w:rPr>
        <w:t xml:space="preserve">Appendix 4 Table One – </w:t>
      </w:r>
      <w:r w:rsidR="000239DD">
        <w:rPr>
          <w:b/>
          <w:sz w:val="28"/>
          <w:szCs w:val="28"/>
        </w:rPr>
        <w:t>R</w:t>
      </w:r>
      <w:r w:rsidR="000E52E0">
        <w:rPr>
          <w:b/>
          <w:sz w:val="28"/>
          <w:szCs w:val="28"/>
        </w:rPr>
        <w:t xml:space="preserve">esponses to </w:t>
      </w:r>
      <w:r w:rsidR="000239DD">
        <w:rPr>
          <w:b/>
          <w:sz w:val="28"/>
          <w:szCs w:val="28"/>
        </w:rPr>
        <w:t>D</w:t>
      </w:r>
      <w:r w:rsidR="000E52E0">
        <w:rPr>
          <w:b/>
          <w:sz w:val="28"/>
          <w:szCs w:val="28"/>
        </w:rPr>
        <w:t>escriptors</w:t>
      </w:r>
      <w:r w:rsidR="000E52E0">
        <w:rPr>
          <w:b/>
          <w:sz w:val="28"/>
          <w:szCs w:val="28"/>
        </w:rPr>
        <w:tab/>
      </w:r>
      <w:r w:rsidR="000E52E0">
        <w:rPr>
          <w:b/>
          <w:sz w:val="28"/>
          <w:szCs w:val="28"/>
        </w:rPr>
        <w:tab/>
      </w:r>
      <w:r w:rsidR="000E52E0">
        <w:rPr>
          <w:b/>
          <w:sz w:val="28"/>
          <w:szCs w:val="28"/>
        </w:rPr>
        <w:tab/>
      </w:r>
      <w:r w:rsidR="000E52E0">
        <w:rPr>
          <w:b/>
          <w:sz w:val="28"/>
          <w:szCs w:val="28"/>
        </w:rPr>
        <w:tab/>
      </w:r>
      <w:r w:rsidR="000E52E0">
        <w:rPr>
          <w:b/>
          <w:sz w:val="28"/>
          <w:szCs w:val="28"/>
        </w:rPr>
        <w:tab/>
        <w:t>xix</w:t>
      </w:r>
      <w:r w:rsidR="000E52E0">
        <w:rPr>
          <w:b/>
          <w:sz w:val="28"/>
          <w:szCs w:val="28"/>
        </w:rPr>
        <w:br/>
        <w:t xml:space="preserve">Appendix 4 Table Two – </w:t>
      </w:r>
      <w:r w:rsidR="000239DD">
        <w:rPr>
          <w:b/>
          <w:sz w:val="28"/>
          <w:szCs w:val="28"/>
        </w:rPr>
        <w:t>A</w:t>
      </w:r>
      <w:r w:rsidR="000E52E0">
        <w:rPr>
          <w:b/>
          <w:sz w:val="28"/>
          <w:szCs w:val="28"/>
        </w:rPr>
        <w:t xml:space="preserve">dditional </w:t>
      </w:r>
      <w:r w:rsidR="000239DD">
        <w:rPr>
          <w:b/>
          <w:sz w:val="28"/>
          <w:szCs w:val="28"/>
        </w:rPr>
        <w:t>D</w:t>
      </w:r>
      <w:r w:rsidR="000E52E0">
        <w:rPr>
          <w:b/>
          <w:sz w:val="28"/>
          <w:szCs w:val="28"/>
        </w:rPr>
        <w:t>escriptors</w:t>
      </w:r>
      <w:r w:rsidR="000E52E0">
        <w:rPr>
          <w:b/>
          <w:sz w:val="28"/>
          <w:szCs w:val="28"/>
        </w:rPr>
        <w:tab/>
      </w:r>
      <w:r w:rsidR="000E52E0">
        <w:rPr>
          <w:b/>
          <w:sz w:val="28"/>
          <w:szCs w:val="28"/>
        </w:rPr>
        <w:tab/>
      </w:r>
      <w:r w:rsidR="000E52E0">
        <w:rPr>
          <w:b/>
          <w:sz w:val="28"/>
          <w:szCs w:val="28"/>
        </w:rPr>
        <w:tab/>
      </w:r>
      <w:r w:rsidR="000E52E0">
        <w:rPr>
          <w:b/>
          <w:sz w:val="28"/>
          <w:szCs w:val="28"/>
        </w:rPr>
        <w:tab/>
      </w:r>
      <w:r w:rsidR="000E52E0">
        <w:rPr>
          <w:b/>
          <w:sz w:val="28"/>
          <w:szCs w:val="28"/>
        </w:rPr>
        <w:tab/>
        <w:t>xxi</w:t>
      </w:r>
    </w:p>
    <w:p w:rsidR="00CB7406" w:rsidRDefault="00BC2BC0">
      <w:pPr>
        <w:rPr>
          <w:b/>
          <w:sz w:val="28"/>
          <w:szCs w:val="28"/>
        </w:rPr>
      </w:pPr>
      <w:r>
        <w:rPr>
          <w:b/>
          <w:sz w:val="28"/>
          <w:szCs w:val="28"/>
        </w:rPr>
        <w:tab/>
      </w:r>
      <w:r>
        <w:rPr>
          <w:b/>
          <w:sz w:val="28"/>
          <w:szCs w:val="28"/>
        </w:rPr>
        <w:tab/>
      </w:r>
      <w:r>
        <w:rPr>
          <w:b/>
          <w:sz w:val="28"/>
          <w:szCs w:val="28"/>
        </w:rPr>
        <w:tab/>
      </w:r>
      <w:r w:rsidR="00CB7406">
        <w:rPr>
          <w:b/>
          <w:sz w:val="28"/>
          <w:szCs w:val="28"/>
        </w:rPr>
        <w:br w:type="page"/>
      </w:r>
    </w:p>
    <w:p w:rsidR="00F950F4" w:rsidRDefault="00F950F4" w:rsidP="003E505C">
      <w:pPr>
        <w:tabs>
          <w:tab w:val="left" w:pos="2054"/>
        </w:tabs>
        <w:spacing w:line="360" w:lineRule="auto"/>
        <w:rPr>
          <w:b/>
          <w:sz w:val="28"/>
          <w:szCs w:val="28"/>
        </w:rPr>
      </w:pPr>
    </w:p>
    <w:p w:rsidR="00655A8F" w:rsidRPr="008A7E95" w:rsidRDefault="00B61224" w:rsidP="005C2127">
      <w:pPr>
        <w:pStyle w:val="Heading1"/>
        <w:spacing w:line="480" w:lineRule="auto"/>
        <w:rPr>
          <w:b w:val="0"/>
        </w:rPr>
      </w:pPr>
      <w:bookmarkStart w:id="1" w:name="_Toc428110543"/>
      <w:r w:rsidRPr="008A7E95">
        <w:rPr>
          <w:b w:val="0"/>
        </w:rPr>
        <w:t>INTRODUCTION</w:t>
      </w:r>
      <w:bookmarkEnd w:id="1"/>
    </w:p>
    <w:p w:rsidR="00655A8F" w:rsidRDefault="00655A8F" w:rsidP="005C2127">
      <w:pPr>
        <w:tabs>
          <w:tab w:val="left" w:pos="2054"/>
        </w:tabs>
        <w:spacing w:line="480" w:lineRule="auto"/>
      </w:pPr>
      <w:r>
        <w:t>This dissertation will seek to explore the possibility of a particular role for deacons engaged in ministry in a multi-faith context. In order to do this I will undertake some analysis of the multiple understandings of the deacon’s role and review contemporary theology of the diaconate, with an emphasis on the books and documents suggested as reading to ordinands at the Queens Foundation in Birmingham. Alongside this exploration I will explore some understandings of ministry in a multi-faith context and look for a potential overlap between the demands and challenges presented by a multi-faith context and the gifts, attributes, positioning and intentions of diaconal ministry.</w:t>
      </w:r>
    </w:p>
    <w:p w:rsidR="00CC4231" w:rsidRDefault="00CC4231" w:rsidP="005C2127">
      <w:pPr>
        <w:tabs>
          <w:tab w:val="left" w:pos="2054"/>
        </w:tabs>
        <w:spacing w:line="480" w:lineRule="auto"/>
      </w:pPr>
      <w:r>
        <w:t xml:space="preserve">I undertake this research as someone who has recently been ordained to the permanent or distinctive diaconate and who currently works in a multi-faith context. </w:t>
      </w:r>
    </w:p>
    <w:p w:rsidR="00655A8F" w:rsidRPr="008A7E95" w:rsidRDefault="008A7E95" w:rsidP="005C2127">
      <w:pPr>
        <w:pStyle w:val="Heading2"/>
        <w:spacing w:line="480" w:lineRule="auto"/>
        <w:rPr>
          <w:b w:val="0"/>
          <w:sz w:val="28"/>
          <w:szCs w:val="28"/>
        </w:rPr>
      </w:pPr>
      <w:bookmarkStart w:id="2" w:name="_Toc428110544"/>
      <w:r>
        <w:rPr>
          <w:b w:val="0"/>
          <w:sz w:val="28"/>
          <w:szCs w:val="28"/>
        </w:rPr>
        <w:t>Diaconate in the Church of England Today</w:t>
      </w:r>
      <w:bookmarkEnd w:id="2"/>
    </w:p>
    <w:p w:rsidR="009B47D4" w:rsidRDefault="009B47D4" w:rsidP="005C2127">
      <w:pPr>
        <w:tabs>
          <w:tab w:val="left" w:pos="2054"/>
        </w:tabs>
        <w:spacing w:line="480" w:lineRule="auto"/>
      </w:pPr>
      <w:r>
        <w:t>The office and role of the deacon is contested and disputed in current times and has since its earliest institution been regarded as controversial.</w:t>
      </w:r>
      <w:r>
        <w:rPr>
          <w:rStyle w:val="FootnoteReference"/>
        </w:rPr>
        <w:footnoteReference w:id="1"/>
      </w:r>
      <w:r>
        <w:t xml:space="preserve"> I However in the last twenty years</w:t>
      </w:r>
      <w:r w:rsidR="00CC4231">
        <w:t>,</w:t>
      </w:r>
      <w:r>
        <w:t xml:space="preserve"> there has been a</w:t>
      </w:r>
      <w:r w:rsidR="00E10E33">
        <w:t xml:space="preserve"> unprecedented </w:t>
      </w:r>
      <w:r>
        <w:t>resurgence of interest in the diaco</w:t>
      </w:r>
      <w:r w:rsidR="00CC4231">
        <w:t>nate across many denominations around</w:t>
      </w:r>
      <w:r>
        <w:t xml:space="preserve"> the world.</w:t>
      </w:r>
      <w:r>
        <w:rPr>
          <w:rStyle w:val="FootnoteReference"/>
        </w:rPr>
        <w:footnoteReference w:id="2"/>
      </w:r>
      <w:r>
        <w:t xml:space="preserve"> Indeed, Anglican ecclesial theologian Paul Avis describes it as the ‘most promising and most problematic of ministries of the Church.’</w:t>
      </w:r>
      <w:r>
        <w:rPr>
          <w:rStyle w:val="FootnoteReference"/>
        </w:rPr>
        <w:footnoteReference w:id="3"/>
      </w:r>
      <w:r>
        <w:t xml:space="preserve"> </w:t>
      </w:r>
    </w:p>
    <w:p w:rsidR="009B47D4" w:rsidRDefault="0013195F" w:rsidP="005C2127">
      <w:pPr>
        <w:spacing w:line="480" w:lineRule="auto"/>
      </w:pPr>
      <w:r>
        <w:t>Currently the diaconate is</w:t>
      </w:r>
      <w:r w:rsidR="009B47D4">
        <w:t xml:space="preserve">, for most in the Church of England, a year-long grounding in ministry, laying a foundation of service that undergirds the priesthood. For many it is seen just as an apprenticeship, a kind of probationary period during which one is neither quite lay nor properly a </w:t>
      </w:r>
      <w:r w:rsidR="009B47D4">
        <w:lastRenderedPageBreak/>
        <w:t>priest. In my ten years of association with Birmingham Diocese I have known only one ordinand not proceed from the diaconate to the priesthood after a year and after July 5</w:t>
      </w:r>
      <w:r w:rsidR="009B47D4">
        <w:rPr>
          <w:vertAlign w:val="superscript"/>
        </w:rPr>
        <w:t>th</w:t>
      </w:r>
      <w:r w:rsidR="009B47D4">
        <w:t xml:space="preserve"> I will be the first stipendiary deacon working in the diocese.  At the turn of the century there were 75 permanent deacons across the Church of England – recent unpublished research in April 2015 suggests that there are now 100 working in many different contexts.</w:t>
      </w:r>
      <w:r>
        <w:t xml:space="preserve"> This tiny number contrasts with </w:t>
      </w:r>
      <w:r w:rsidR="00655A8F">
        <w:t xml:space="preserve">6,600 </w:t>
      </w:r>
      <w:r>
        <w:t xml:space="preserve">readers and </w:t>
      </w:r>
      <w:r w:rsidR="00655A8F">
        <w:t xml:space="preserve">11,300 </w:t>
      </w:r>
      <w:r w:rsidR="00CC4231">
        <w:t>licensed</w:t>
      </w:r>
      <w:r w:rsidR="00655A8F">
        <w:t xml:space="preserve"> clergy.</w:t>
      </w:r>
      <w:r w:rsidR="00655A8F">
        <w:rPr>
          <w:rStyle w:val="FootnoteReference"/>
        </w:rPr>
        <w:footnoteReference w:id="4"/>
      </w:r>
    </w:p>
    <w:p w:rsidR="009B47D4" w:rsidRDefault="009B47D4" w:rsidP="005C2127">
      <w:pPr>
        <w:spacing w:line="480" w:lineRule="auto"/>
      </w:pPr>
      <w:r>
        <w:t xml:space="preserve">Other than being apprentices and fledgling priests there is little clarity about the role of a deacon in the Church of England. In many documents, deacons are defined by what they </w:t>
      </w:r>
      <w:r>
        <w:rPr>
          <w:b/>
        </w:rPr>
        <w:t xml:space="preserve">can’t </w:t>
      </w:r>
      <w:r>
        <w:t xml:space="preserve">do rather than what they </w:t>
      </w:r>
      <w:r>
        <w:rPr>
          <w:b/>
        </w:rPr>
        <w:t>can</w:t>
      </w:r>
      <w:r>
        <w:t xml:space="preserve"> do.   For example this online Church of England glossary states: “In his</w:t>
      </w:r>
      <w:r w:rsidR="00CC4231">
        <w:t xml:space="preserve"> (sic)</w:t>
      </w:r>
      <w:r>
        <w:t xml:space="preserve"> first year as deacon, the </w:t>
      </w:r>
      <w:r>
        <w:rPr>
          <w:rStyle w:val="Emphasis"/>
        </w:rPr>
        <w:t>curate</w:t>
      </w:r>
      <w:r>
        <w:t xml:space="preserve"> is not authorised to preside at a service of Holy Communion (that authority is given when he is ordained priest); nor is a deacon authorised to pronounce the absolution or blessing.   Not all deacons proceed with ordination to the priesthood; some remain permanent deacons.”</w:t>
      </w:r>
      <w:r>
        <w:rPr>
          <w:rStyle w:val="FootnoteReference"/>
        </w:rPr>
        <w:footnoteReference w:id="5"/>
      </w:r>
      <w:r w:rsidR="00CC4231">
        <w:t xml:space="preserve"> When the role is defined, it is often described as the ‘servant’ element of ministry contrasting with the more elevated role of priesthood.</w:t>
      </w:r>
    </w:p>
    <w:p w:rsidR="009B47D4" w:rsidRDefault="009B47D4" w:rsidP="005C2127">
      <w:pPr>
        <w:spacing w:line="480" w:lineRule="auto"/>
      </w:pPr>
      <w:r>
        <w:t>In his editorial preface to a journal with a focus on the diaconate, Geoffrey Rowell says: “In the Church of England, diaconal ministry has largely followed the late medieval pattern of a one-year transition to priesthood.....In more recent times, in the context of the debates about the ordination of women, there was a renewed interes</w:t>
      </w:r>
      <w:r w:rsidR="00CC4231">
        <w:t xml:space="preserve">t in the diaconate (1987-1992) </w:t>
      </w:r>
      <w:r>
        <w:t>when women were permit</w:t>
      </w:r>
      <w:r w:rsidR="00CC4231">
        <w:t>ted to be ordained as deacons but</w:t>
      </w:r>
      <w:r>
        <w:t xml:space="preserve"> not, as subsequently happened, as priest. Once ordination to the priesthood was possible, almost all women followed that route, and </w:t>
      </w:r>
      <w:r w:rsidR="00CC4231">
        <w:t>interest in</w:t>
      </w:r>
      <w:r>
        <w:t xml:space="preserve"> the </w:t>
      </w:r>
      <w:r w:rsidR="00CC4231">
        <w:t>diaconate as</w:t>
      </w:r>
      <w:r w:rsidR="0013195F">
        <w:t xml:space="preserve"> a distinctive (and indeed necessary) part of the three-fold ministry, waned.”</w:t>
      </w:r>
      <w:r w:rsidR="0013195F">
        <w:rPr>
          <w:rStyle w:val="FootnoteReference"/>
        </w:rPr>
        <w:footnoteReference w:id="6"/>
      </w:r>
    </w:p>
    <w:p w:rsidR="0013195F" w:rsidRDefault="0013195F" w:rsidP="005C2127">
      <w:pPr>
        <w:spacing w:line="480" w:lineRule="auto"/>
      </w:pPr>
      <w:r>
        <w:t xml:space="preserve">Despite this waning of interest, a document at the heart of Anglican liturgy and doctrine, the </w:t>
      </w:r>
      <w:r w:rsidR="000239DD">
        <w:t>O</w:t>
      </w:r>
      <w:r>
        <w:t>rdinal, offers a clea</w:t>
      </w:r>
      <w:r w:rsidR="00655A8F">
        <w:t xml:space="preserve">r </w:t>
      </w:r>
      <w:r>
        <w:t>and distinctive role for a deacon which includes the serv</w:t>
      </w:r>
      <w:r w:rsidR="00CC4231">
        <w:t>ant</w:t>
      </w:r>
      <w:r>
        <w:t xml:space="preserve"> role but offers alternative images and descriptors which suggest a wider role. Role</w:t>
      </w:r>
      <w:r w:rsidR="00CC4231">
        <w:t>s</w:t>
      </w:r>
      <w:r>
        <w:t xml:space="preserve"> and images found in t</w:t>
      </w:r>
      <w:r w:rsidR="009B47D4">
        <w:t xml:space="preserve">he liturgy of ordination in </w:t>
      </w:r>
      <w:r w:rsidR="009B47D4">
        <w:rPr>
          <w:i/>
        </w:rPr>
        <w:t>Common Worship</w:t>
      </w:r>
      <w:r w:rsidR="009B47D4">
        <w:t xml:space="preserve"> </w:t>
      </w:r>
      <w:r>
        <w:t>include:</w:t>
      </w:r>
    </w:p>
    <w:p w:rsidR="009B47D4" w:rsidRDefault="009B47D4" w:rsidP="005C2127">
      <w:pPr>
        <w:pStyle w:val="ListParagraph"/>
        <w:numPr>
          <w:ilvl w:val="0"/>
          <w:numId w:val="5"/>
        </w:numPr>
        <w:spacing w:line="480" w:lineRule="auto"/>
      </w:pPr>
      <w:r>
        <w:t>Called to work with priests and Bishops with whom they serve as heralds of Christ’s kingdom</w:t>
      </w:r>
    </w:p>
    <w:p w:rsidR="009B47D4" w:rsidRDefault="009B47D4" w:rsidP="005C2127">
      <w:pPr>
        <w:pStyle w:val="ListParagraph"/>
        <w:numPr>
          <w:ilvl w:val="0"/>
          <w:numId w:val="5"/>
        </w:numPr>
        <w:spacing w:line="480" w:lineRule="auto"/>
      </w:pPr>
      <w:r>
        <w:t>Proclaim the Gospel in word and deed</w:t>
      </w:r>
    </w:p>
    <w:p w:rsidR="009B47D4" w:rsidRDefault="009B47D4" w:rsidP="005C2127">
      <w:pPr>
        <w:pStyle w:val="ListParagraph"/>
        <w:numPr>
          <w:ilvl w:val="0"/>
          <w:numId w:val="5"/>
        </w:numPr>
        <w:spacing w:line="480" w:lineRule="auto"/>
      </w:pPr>
      <w:r>
        <w:t>Serve the community</w:t>
      </w:r>
    </w:p>
    <w:p w:rsidR="009B47D4" w:rsidRDefault="009B47D4" w:rsidP="005C2127">
      <w:pPr>
        <w:pStyle w:val="ListParagraph"/>
        <w:numPr>
          <w:ilvl w:val="0"/>
          <w:numId w:val="5"/>
        </w:numPr>
        <w:spacing w:line="480" w:lineRule="auto"/>
      </w:pPr>
      <w:r>
        <w:t>Work with fellow members to search out  poor, weak, sick, lonely, oppressed and powerless people</w:t>
      </w:r>
    </w:p>
    <w:p w:rsidR="009B47D4" w:rsidRDefault="009B47D4" w:rsidP="005C2127">
      <w:pPr>
        <w:pStyle w:val="ListParagraph"/>
        <w:numPr>
          <w:ilvl w:val="0"/>
          <w:numId w:val="5"/>
        </w:numPr>
        <w:spacing w:line="480" w:lineRule="auto"/>
      </w:pPr>
      <w:r>
        <w:t>Reach into the forgotten corners of the world so that the love of God may be made visib</w:t>
      </w:r>
      <w:r w:rsidR="0011352C">
        <w:t>l</w:t>
      </w:r>
      <w:r>
        <w:t>e</w:t>
      </w:r>
    </w:p>
    <w:p w:rsidR="009B47D4" w:rsidRDefault="009B47D4" w:rsidP="005C2127">
      <w:pPr>
        <w:pStyle w:val="ListParagraph"/>
        <w:numPr>
          <w:ilvl w:val="0"/>
          <w:numId w:val="5"/>
        </w:numPr>
        <w:spacing w:line="480" w:lineRule="auto"/>
      </w:pPr>
      <w:r>
        <w:t>Share in pastoral ministry</w:t>
      </w:r>
    </w:p>
    <w:p w:rsidR="009B47D4" w:rsidRDefault="009B47D4" w:rsidP="005C2127">
      <w:pPr>
        <w:pStyle w:val="ListParagraph"/>
        <w:numPr>
          <w:ilvl w:val="0"/>
          <w:numId w:val="5"/>
        </w:numPr>
        <w:spacing w:line="480" w:lineRule="auto"/>
      </w:pPr>
      <w:r>
        <w:t>Share in leading worship</w:t>
      </w:r>
    </w:p>
    <w:p w:rsidR="009B47D4" w:rsidRDefault="009B47D4" w:rsidP="005C2127">
      <w:pPr>
        <w:pStyle w:val="ListParagraph"/>
        <w:numPr>
          <w:ilvl w:val="0"/>
          <w:numId w:val="5"/>
        </w:numPr>
        <w:spacing w:line="480" w:lineRule="auto"/>
      </w:pPr>
      <w:r>
        <w:t xml:space="preserve">Preach the word </w:t>
      </w:r>
    </w:p>
    <w:p w:rsidR="009B47D4" w:rsidRDefault="009B47D4" w:rsidP="005C2127">
      <w:pPr>
        <w:pStyle w:val="ListParagraph"/>
        <w:numPr>
          <w:ilvl w:val="0"/>
          <w:numId w:val="5"/>
        </w:numPr>
        <w:spacing w:line="480" w:lineRule="auto"/>
      </w:pPr>
      <w:r>
        <w:t xml:space="preserve">Bring the needs of the world to God in </w:t>
      </w:r>
      <w:r w:rsidR="00CC4231">
        <w:t>prayer</w:t>
      </w:r>
    </w:p>
    <w:p w:rsidR="009B47D4" w:rsidRDefault="009B47D4" w:rsidP="005C2127">
      <w:pPr>
        <w:pStyle w:val="ListParagraph"/>
        <w:numPr>
          <w:ilvl w:val="0"/>
          <w:numId w:val="5"/>
        </w:numPr>
        <w:spacing w:line="480" w:lineRule="auto"/>
      </w:pPr>
      <w:r>
        <w:t>Accompany those searching for faith</w:t>
      </w:r>
    </w:p>
    <w:p w:rsidR="009B47D4" w:rsidRDefault="009B47D4" w:rsidP="005C2127">
      <w:pPr>
        <w:pStyle w:val="ListParagraph"/>
        <w:numPr>
          <w:ilvl w:val="0"/>
          <w:numId w:val="5"/>
        </w:numPr>
        <w:spacing w:line="480" w:lineRule="auto"/>
      </w:pPr>
      <w:r>
        <w:t>Assist in administering sacraments</w:t>
      </w:r>
    </w:p>
    <w:p w:rsidR="009B47D4" w:rsidRDefault="009B47D4" w:rsidP="005C2127">
      <w:pPr>
        <w:pStyle w:val="ListParagraph"/>
        <w:numPr>
          <w:ilvl w:val="0"/>
          <w:numId w:val="5"/>
        </w:numPr>
        <w:spacing w:line="480" w:lineRule="auto"/>
      </w:pPr>
      <w:r>
        <w:t>Distribute communion and minister to the sick and housebound</w:t>
      </w:r>
    </w:p>
    <w:p w:rsidR="009B47D4" w:rsidRDefault="009B47D4" w:rsidP="005C2127">
      <w:pPr>
        <w:pStyle w:val="ListParagraph"/>
        <w:numPr>
          <w:ilvl w:val="0"/>
          <w:numId w:val="5"/>
        </w:numPr>
        <w:spacing w:line="480" w:lineRule="auto"/>
      </w:pPr>
      <w:r>
        <w:t>Seek nourishment from the scriptures</w:t>
      </w:r>
    </w:p>
    <w:p w:rsidR="009B47D4" w:rsidRDefault="009B47D4" w:rsidP="005C2127">
      <w:pPr>
        <w:pStyle w:val="ListParagraph"/>
        <w:numPr>
          <w:ilvl w:val="0"/>
          <w:numId w:val="5"/>
        </w:numPr>
        <w:spacing w:line="480" w:lineRule="auto"/>
      </w:pPr>
      <w:r>
        <w:t>Study them with God’s people</w:t>
      </w:r>
    </w:p>
    <w:p w:rsidR="00655A8F" w:rsidRDefault="009B47D4" w:rsidP="005C2127">
      <w:pPr>
        <w:pStyle w:val="ListParagraph"/>
        <w:numPr>
          <w:ilvl w:val="0"/>
          <w:numId w:val="5"/>
        </w:numPr>
        <w:spacing w:line="480" w:lineRule="auto"/>
      </w:pPr>
      <w:r>
        <w:t>Be faithful in prayer and expectant and watchful for the signs of God’s presence</w:t>
      </w:r>
      <w:r>
        <w:rPr>
          <w:rStyle w:val="FootnoteReference"/>
        </w:rPr>
        <w:footnoteReference w:id="7"/>
      </w:r>
    </w:p>
    <w:p w:rsidR="006E7681" w:rsidRDefault="00655A8F" w:rsidP="005C2127">
      <w:pPr>
        <w:spacing w:line="480" w:lineRule="auto"/>
      </w:pPr>
      <w:r>
        <w:t xml:space="preserve">This </w:t>
      </w:r>
      <w:r w:rsidR="009B47D4">
        <w:t>15 point description drawn</w:t>
      </w:r>
      <w:r w:rsidR="00E94B6F">
        <w:t xml:space="preserve"> from the </w:t>
      </w:r>
      <w:r w:rsidR="000239DD">
        <w:t>O</w:t>
      </w:r>
      <w:r w:rsidR="00E94B6F">
        <w:t>rdinal,</w:t>
      </w:r>
      <w:r>
        <w:t xml:space="preserve"> presents us with the closest we have to a definition of the role of a deacon in the Church of England today. </w:t>
      </w:r>
      <w:r w:rsidR="006E7681">
        <w:t>However in practice the understanding of diaconate</w:t>
      </w:r>
      <w:r w:rsidR="009B47D4">
        <w:t xml:space="preserve"> seems to remain largely understood as the servant part of priestly ministry. </w:t>
      </w:r>
      <w:r w:rsidR="006E7681">
        <w:t xml:space="preserve">This is in part due to the very close association </w:t>
      </w:r>
      <w:r w:rsidR="000239DD">
        <w:t xml:space="preserve">between </w:t>
      </w:r>
      <w:r w:rsidR="006E7681">
        <w:t>the deacon</w:t>
      </w:r>
      <w:r w:rsidR="00CC4231">
        <w:t>’</w:t>
      </w:r>
      <w:r w:rsidR="006E7681">
        <w:t>s role and Jesus washing the disciples</w:t>
      </w:r>
      <w:r w:rsidR="008A7E95">
        <w:t>’</w:t>
      </w:r>
      <w:r w:rsidR="006E7681">
        <w:t xml:space="preserve"> feet which is usually referenced at the ordination of the deacon and is symbolised by the wearing of a tied stole. </w:t>
      </w:r>
    </w:p>
    <w:p w:rsidR="006E7681" w:rsidRDefault="006E7681" w:rsidP="005C2127">
      <w:pPr>
        <w:spacing w:line="480" w:lineRule="auto"/>
      </w:pPr>
      <w:r>
        <w:t>Christine Hall claims the limited understanding of diaconate, which leads it to being seen as a lower level of ministry for tho</w:t>
      </w:r>
      <w:r w:rsidR="00E94B6F">
        <w:t xml:space="preserve">se who have somehow failed to </w:t>
      </w:r>
      <w:r>
        <w:t>achieve priesthood is caused by a dysfunction</w:t>
      </w:r>
      <w:r w:rsidR="000239DD">
        <w:t xml:space="preserve"> in, or breaking</w:t>
      </w:r>
      <w:r>
        <w:t xml:space="preserve"> of</w:t>
      </w:r>
      <w:r w:rsidR="000239DD">
        <w:t>,</w:t>
      </w:r>
      <w:r>
        <w:t xml:space="preserve"> the close relationship between a Bishop and Deacon. She also claimed that theologically thin understanding of ordination itself limited the church’s understanding of the diaconate: </w:t>
      </w:r>
    </w:p>
    <w:p w:rsidR="006E7681" w:rsidRPr="006C5E00" w:rsidRDefault="006E7681" w:rsidP="000239DD">
      <w:pPr>
        <w:spacing w:line="480" w:lineRule="auto"/>
        <w:ind w:left="720"/>
      </w:pPr>
      <w:r>
        <w:t>“..</w:t>
      </w:r>
      <w:r w:rsidR="008A7E95">
        <w:t>.</w:t>
      </w:r>
      <w:r>
        <w:t xml:space="preserve">the failure of the Church of England, and that of other Anglican churches signatory to the Porvoo Declaration, to recognise the theological and practical </w:t>
      </w:r>
      <w:r w:rsidR="008A7E95">
        <w:t xml:space="preserve">consequences </w:t>
      </w:r>
      <w:r w:rsidR="006C5E00">
        <w:t xml:space="preserve">of the symbolic and sacramental character of ordination has obscured the ontological character of the ordained diaconate. This has effectively prevented it from being understood as, </w:t>
      </w:r>
      <w:r w:rsidR="006C5E00" w:rsidRPr="006C5E00">
        <w:rPr>
          <w:i/>
        </w:rPr>
        <w:t>inter alia</w:t>
      </w:r>
      <w:r w:rsidR="006C5E00">
        <w:rPr>
          <w:i/>
        </w:rPr>
        <w:t xml:space="preserve">, </w:t>
      </w:r>
      <w:r w:rsidR="006C5E00">
        <w:t>a ministry of prophecy and challenge, to and on behalf of, the Church as a whole. This in turn disrupts the recognition of the necessary connection between the centre and the periphery of the Church’s life and the differentiation between the ministry of the deacon and that of the priest.”</w:t>
      </w:r>
    </w:p>
    <w:p w:rsidR="006E7681" w:rsidRDefault="006C5E00" w:rsidP="005C2127">
      <w:pPr>
        <w:spacing w:line="480" w:lineRule="auto"/>
      </w:pPr>
      <w:r>
        <w:t xml:space="preserve">The periphery of Church life is where much interfaith engagement takes place and </w:t>
      </w:r>
      <w:r w:rsidR="00E10E33">
        <w:t>the lack of content about interfaith ministry in most</w:t>
      </w:r>
      <w:r>
        <w:t xml:space="preserve"> recent General Synod documents on mission and </w:t>
      </w:r>
      <w:r w:rsidR="00CC4231">
        <w:t>ministry suggests</w:t>
      </w:r>
      <w:r w:rsidR="00E10E33">
        <w:t xml:space="preserve"> </w:t>
      </w:r>
      <w:r>
        <w:t>that multi-faith contexts are given little attention by the ‘centre’. Nor has there been much enthusiasm from Synod for developing a m</w:t>
      </w:r>
      <w:r w:rsidR="006E7681">
        <w:t xml:space="preserve">ore expansive understanding of the </w:t>
      </w:r>
      <w:r>
        <w:t xml:space="preserve">diaconate. Synod </w:t>
      </w:r>
      <w:r w:rsidR="009B47D4">
        <w:t>has considered two reports advocating for a renewed diaconate but these have both been defeated, largely on the basis that the suggested role would clericalize the ministry of lay people.</w:t>
      </w:r>
      <w:r w:rsidR="009B47D4">
        <w:rPr>
          <w:rStyle w:val="FootnoteReference"/>
        </w:rPr>
        <w:footnoteReference w:id="8"/>
      </w:r>
      <w:r w:rsidR="006E7681">
        <w:t xml:space="preserve"> </w:t>
      </w:r>
    </w:p>
    <w:p w:rsidR="006E7681" w:rsidRDefault="006C5E00" w:rsidP="005C2127">
      <w:pPr>
        <w:spacing w:line="480" w:lineRule="auto"/>
      </w:pPr>
      <w:r>
        <w:t>Despite the ambivalence of the Church of England towards the diaconate, for perhaps some of the theological and historical reasons suggested, in other denominations and in certain diocese</w:t>
      </w:r>
      <w:r w:rsidR="00E10E33">
        <w:t>s</w:t>
      </w:r>
      <w:r>
        <w:t xml:space="preserve"> the diaconate is flo</w:t>
      </w:r>
      <w:r w:rsidR="00E10E33">
        <w:t xml:space="preserve">urishing. </w:t>
      </w:r>
      <w:r w:rsidR="00CC4231">
        <w:t>Across the Church of England, ministry in</w:t>
      </w:r>
      <w:r w:rsidR="00E10E33">
        <w:t xml:space="preserve"> multi</w:t>
      </w:r>
      <w:r>
        <w:t>-faith contexts seems to be under-resourced and sporadic</w:t>
      </w:r>
      <w:r w:rsidR="00E94B6F">
        <w:t xml:space="preserve"> and there is little evidence of the work of Anglican deacons in these parishes</w:t>
      </w:r>
      <w:r>
        <w:t>. Clergy in these areas report having little contact with those of other faiths.</w:t>
      </w:r>
      <w:r>
        <w:rPr>
          <w:rStyle w:val="FootnoteReference"/>
        </w:rPr>
        <w:footnoteReference w:id="9"/>
      </w:r>
      <w:r w:rsidR="0011352C">
        <w:t xml:space="preserve"> Deacons who are called above all to collaboration, proclamation and service might well find a ministry in those ‘forgotten corners of the </w:t>
      </w:r>
      <w:r w:rsidR="00CC4231">
        <w:t>world’,</w:t>
      </w:r>
      <w:r w:rsidR="0011352C">
        <w:t xml:space="preserve"> in which the church struggles with dwindling numbers, ageing populations and burdensome buildings.</w:t>
      </w:r>
    </w:p>
    <w:p w:rsidR="0011352C" w:rsidRDefault="00E10E33" w:rsidP="005C2127">
      <w:pPr>
        <w:spacing w:line="480" w:lineRule="auto"/>
      </w:pPr>
      <w:r>
        <w:t xml:space="preserve">For </w:t>
      </w:r>
      <w:r w:rsidR="0011352C">
        <w:t>this kind of development to be made possible the Church of England needs to equip itself with a far deeper understanding of the charism of diakonia, informed by scholarship and the study of good practice in other denominations and provinces.</w:t>
      </w:r>
    </w:p>
    <w:p w:rsidR="009B47D4" w:rsidRDefault="009B47D4" w:rsidP="005C2127">
      <w:pPr>
        <w:spacing w:line="480" w:lineRule="auto"/>
      </w:pPr>
      <w:r>
        <w:t xml:space="preserve">In the words of Avis again: </w:t>
      </w:r>
    </w:p>
    <w:p w:rsidR="009B47D4" w:rsidRDefault="009B47D4" w:rsidP="000239DD">
      <w:pPr>
        <w:spacing w:after="0" w:line="480" w:lineRule="auto"/>
        <w:ind w:left="720"/>
        <w:rPr>
          <w:rFonts w:eastAsia="Times New Roman" w:cs="Arial"/>
        </w:rPr>
      </w:pPr>
      <w:r>
        <w:rPr>
          <w:rFonts w:eastAsia="Times New Roman" w:cs="Arial"/>
        </w:rPr>
        <w:t xml:space="preserve">“The churches have been struggling with the identity of the diaconate and the meaning of this ministry remains unresolved in some traditions. Major developments in modern Christianity –the missionary, ecumenical, liturgical, charismatic, biblical theology and ressourcement movements impact on the diaconate. In particular, research into classical and New Testament Greek usage of the </w:t>
      </w:r>
      <w:r w:rsidRPr="00B1122C">
        <w:rPr>
          <w:rFonts w:eastAsia="Times New Roman" w:cs="Arial"/>
          <w:i/>
        </w:rPr>
        <w:t>diakon</w:t>
      </w:r>
      <w:r>
        <w:rPr>
          <w:rFonts w:eastAsia="Times New Roman" w:cs="Arial"/>
        </w:rPr>
        <w:t xml:space="preserve"> words suggests that our understanding of the diaconate today needs to be reconstructed to reflect the Pauline sense of </w:t>
      </w:r>
      <w:r w:rsidRPr="00B1122C">
        <w:rPr>
          <w:rFonts w:eastAsia="Times New Roman" w:cs="Arial"/>
          <w:i/>
        </w:rPr>
        <w:t>diakonia</w:t>
      </w:r>
      <w:r>
        <w:rPr>
          <w:rFonts w:eastAsia="Times New Roman" w:cs="Arial"/>
        </w:rPr>
        <w:t xml:space="preserve"> as a commissioned ministry of the gospel.”</w:t>
      </w:r>
      <w:r>
        <w:rPr>
          <w:rStyle w:val="FootnoteReference"/>
          <w:rFonts w:eastAsia="Times New Roman" w:cs="Arial"/>
        </w:rPr>
        <w:footnoteReference w:id="10"/>
      </w:r>
    </w:p>
    <w:p w:rsidR="00E94B6F" w:rsidRDefault="00E94B6F" w:rsidP="005C2127">
      <w:pPr>
        <w:spacing w:line="480" w:lineRule="auto"/>
      </w:pPr>
      <w:r>
        <w:t xml:space="preserve"> </w:t>
      </w:r>
    </w:p>
    <w:p w:rsidR="00E94B6F" w:rsidRDefault="00E94B6F" w:rsidP="005C2127">
      <w:pPr>
        <w:spacing w:line="480" w:lineRule="auto"/>
      </w:pPr>
      <w:r>
        <w:t xml:space="preserve">In order to explore the possibilities for the diaconate in an multi-faith context I will explore the recent scholarship surrounding the New Testament usage of the </w:t>
      </w:r>
      <w:r w:rsidRPr="00B1122C">
        <w:rPr>
          <w:i/>
        </w:rPr>
        <w:t>diakon</w:t>
      </w:r>
      <w:r>
        <w:t xml:space="preserve"> words, develop a taxonomy of the usage of </w:t>
      </w:r>
      <w:r w:rsidRPr="00B1122C">
        <w:rPr>
          <w:i/>
        </w:rPr>
        <w:t>diakon</w:t>
      </w:r>
      <w:r>
        <w:t xml:space="preserve"> words in contemporary theological writing, analyse the Church of England’s current understanding of ministry in a multi-faith context and research understanding of diaconate amongst permanent deacons and Anglican clergy.</w:t>
      </w:r>
    </w:p>
    <w:p w:rsidR="001A0AA3" w:rsidRDefault="00B61224" w:rsidP="005C2127">
      <w:pPr>
        <w:pStyle w:val="Heading1"/>
        <w:spacing w:line="480" w:lineRule="auto"/>
      </w:pPr>
      <w:bookmarkStart w:id="3" w:name="_Toc428110545"/>
      <w:r>
        <w:t>Setting the Scene</w:t>
      </w:r>
      <w:bookmarkEnd w:id="3"/>
    </w:p>
    <w:p w:rsidR="001A0AA3" w:rsidRDefault="00B3748D" w:rsidP="005C2127">
      <w:pPr>
        <w:pStyle w:val="Heading2"/>
        <w:spacing w:line="480" w:lineRule="auto"/>
        <w:rPr>
          <w:b w:val="0"/>
          <w:sz w:val="28"/>
          <w:szCs w:val="28"/>
        </w:rPr>
      </w:pPr>
      <w:bookmarkStart w:id="4" w:name="_Toc428110546"/>
      <w:r>
        <w:rPr>
          <w:b w:val="0"/>
          <w:sz w:val="28"/>
          <w:szCs w:val="28"/>
        </w:rPr>
        <w:t>Learning from the Word</w:t>
      </w:r>
      <w:bookmarkEnd w:id="4"/>
      <w:r w:rsidR="00B61224">
        <w:rPr>
          <w:b w:val="0"/>
          <w:sz w:val="28"/>
          <w:szCs w:val="28"/>
        </w:rPr>
        <w:br/>
      </w:r>
    </w:p>
    <w:p w:rsidR="00072FE9" w:rsidRDefault="00E10E33" w:rsidP="005C2127">
      <w:pPr>
        <w:spacing w:line="480" w:lineRule="auto"/>
      </w:pPr>
      <w:r>
        <w:t>Anecdotally, t</w:t>
      </w:r>
      <w:r w:rsidR="00B3748D">
        <w:t xml:space="preserve">he two biblical passages most </w:t>
      </w:r>
      <w:r>
        <w:t xml:space="preserve">quoted in association </w:t>
      </w:r>
      <w:r w:rsidR="00B3748D">
        <w:t xml:space="preserve">with the role of deacon </w:t>
      </w:r>
      <w:r>
        <w:t xml:space="preserve">are </w:t>
      </w:r>
      <w:r w:rsidR="00B3748D">
        <w:t>John’s narrative of Jesus washing the disciples’ feet (John 13) and the calling of the seven in Acts 6. Taken together these two passages give the impression of the deacon as</w:t>
      </w:r>
      <w:r w:rsidR="0011352C">
        <w:t xml:space="preserve"> a minister of practical service</w:t>
      </w:r>
      <w:r w:rsidR="00B3748D">
        <w:t>, meeting the needs of others in practical unassuming ways.</w:t>
      </w:r>
    </w:p>
    <w:p w:rsidR="00B3748D" w:rsidRDefault="0011352C" w:rsidP="005C2127">
      <w:pPr>
        <w:spacing w:line="480" w:lineRule="auto"/>
      </w:pPr>
      <w:r>
        <w:t xml:space="preserve">This understanding is being challenged by </w:t>
      </w:r>
      <w:r w:rsidR="00B3748D">
        <w:t>recent scholarship, led by Australian, lay theologian, John N Collins but uncontested by</w:t>
      </w:r>
      <w:r w:rsidR="0032719B">
        <w:t xml:space="preserve"> other</w:t>
      </w:r>
      <w:r w:rsidR="00B3748D">
        <w:t xml:space="preserve"> contemporary Biblical scholars </w:t>
      </w:r>
      <w:r w:rsidR="00E94B6F">
        <w:t xml:space="preserve">and </w:t>
      </w:r>
      <w:r w:rsidR="00B3748D">
        <w:t xml:space="preserve">has led to a dramatic re-reading of the </w:t>
      </w:r>
      <w:r w:rsidR="00B3748D" w:rsidRPr="00E10E33">
        <w:rPr>
          <w:i/>
        </w:rPr>
        <w:t>di</w:t>
      </w:r>
      <w:r w:rsidR="0032719B" w:rsidRPr="00E10E33">
        <w:rPr>
          <w:i/>
        </w:rPr>
        <w:t>akon</w:t>
      </w:r>
      <w:r w:rsidR="0032719B">
        <w:t xml:space="preserve"> words which has broadened their</w:t>
      </w:r>
      <w:r w:rsidR="00B3748D">
        <w:t xml:space="preserve"> meaning, widening the scope for understanding the office of deacon in both historical and contemporary contexts.</w:t>
      </w:r>
    </w:p>
    <w:p w:rsidR="0011352C" w:rsidRDefault="00E10E33" w:rsidP="005C2127">
      <w:pPr>
        <w:spacing w:line="480" w:lineRule="auto"/>
      </w:pPr>
      <w:r>
        <w:t>I</w:t>
      </w:r>
      <w:r w:rsidR="00B3748D">
        <w:t xml:space="preserve">t is important to note at the outset that no alternative word has been found to replace the word servant and nor has the servant role disappeared from the range of meanings of the </w:t>
      </w:r>
      <w:r w:rsidR="00B3748D" w:rsidRPr="00E10E33">
        <w:rPr>
          <w:i/>
        </w:rPr>
        <w:t>d</w:t>
      </w:r>
      <w:r w:rsidRPr="00E10E33">
        <w:rPr>
          <w:i/>
        </w:rPr>
        <w:t>ia</w:t>
      </w:r>
      <w:r w:rsidR="00B3748D" w:rsidRPr="00E10E33">
        <w:rPr>
          <w:i/>
        </w:rPr>
        <w:t xml:space="preserve">kon </w:t>
      </w:r>
      <w:r w:rsidR="00B3748D">
        <w:t xml:space="preserve">words. It is also important to remember that there is no clear New Testament model that can </w:t>
      </w:r>
      <w:r>
        <w:t xml:space="preserve">be </w:t>
      </w:r>
      <w:r w:rsidR="00B3748D">
        <w:t>transposed as an ideal into our current ecclesiology.  As Gooder says: ‘.</w:t>
      </w:r>
      <w:r w:rsidR="0032719B">
        <w:t>.</w:t>
      </w:r>
      <w:r w:rsidR="00B3748D">
        <w:t>.our desire to pressure the New Testament to tell us what a deacon is, is one of those classic occasions when we ask the New Testament a question it cannot answer.…’</w:t>
      </w:r>
      <w:r w:rsidR="00B3748D">
        <w:rPr>
          <w:rStyle w:val="FootnoteReference"/>
        </w:rPr>
        <w:footnoteReference w:id="11"/>
      </w:r>
      <w:r w:rsidR="00B1122C">
        <w:t xml:space="preserve"> None the less, there is much offered in a nuanced reading of </w:t>
      </w:r>
      <w:r w:rsidR="00B1122C" w:rsidRPr="00B1122C">
        <w:rPr>
          <w:i/>
        </w:rPr>
        <w:t>diakon</w:t>
      </w:r>
      <w:r w:rsidR="00B1122C">
        <w:t xml:space="preserve"> words in a New Testament context that could challenge the prevailing understanding of the ministry and open up possibilities for a new kind of ordained ministry to complement the priesthood and the episcopate.</w:t>
      </w:r>
    </w:p>
    <w:p w:rsidR="009E6A9C" w:rsidRDefault="00B3748D" w:rsidP="005C2127">
      <w:pPr>
        <w:spacing w:line="480" w:lineRule="auto"/>
      </w:pPr>
      <w:r>
        <w:t>Collins prefaces his research with the claim that: ‘D</w:t>
      </w:r>
      <w:r w:rsidR="009E6A9C">
        <w:t>iakonia is the preferred term for ministry and ministerial sources among Greek-speaking Christians</w:t>
      </w:r>
      <w:r>
        <w:t>.</w:t>
      </w:r>
      <w:r>
        <w:rPr>
          <w:rStyle w:val="FootnoteReference"/>
        </w:rPr>
        <w:footnoteReference w:id="12"/>
      </w:r>
      <w:r>
        <w:t xml:space="preserve"> </w:t>
      </w:r>
      <w:r w:rsidR="0032719B">
        <w:t xml:space="preserve">But </w:t>
      </w:r>
      <w:r>
        <w:t>it is clear than in the New Testament era the term is developing and evolving and carries quite different meanings in the Gospels from the epistles and</w:t>
      </w:r>
      <w:r w:rsidR="0032719B">
        <w:t xml:space="preserve"> only</w:t>
      </w:r>
      <w:r>
        <w:t xml:space="preserve"> emerges towards the end of the New Testament era as a recognised role (eg 1 Timothy 3).</w:t>
      </w:r>
    </w:p>
    <w:p w:rsidR="009E6A9C" w:rsidRPr="0011352C" w:rsidRDefault="009E6A9C" w:rsidP="005C2127">
      <w:pPr>
        <w:pStyle w:val="Heading3"/>
        <w:spacing w:line="480" w:lineRule="auto"/>
        <w:rPr>
          <w:b w:val="0"/>
        </w:rPr>
      </w:pPr>
      <w:bookmarkStart w:id="5" w:name="_Toc428110547"/>
      <w:r w:rsidRPr="0011352C">
        <w:rPr>
          <w:b w:val="0"/>
        </w:rPr>
        <w:t>Diakon in the Gospels</w:t>
      </w:r>
      <w:bookmarkEnd w:id="5"/>
      <w:r w:rsidR="00B61224">
        <w:rPr>
          <w:b w:val="0"/>
        </w:rPr>
        <w:br/>
      </w:r>
    </w:p>
    <w:p w:rsidR="008649D8" w:rsidRDefault="00B3748D" w:rsidP="005C2127">
      <w:pPr>
        <w:spacing w:line="480" w:lineRule="auto"/>
      </w:pPr>
      <w:r>
        <w:t xml:space="preserve">Gooder is clear that the </w:t>
      </w:r>
      <w:r w:rsidRPr="00E10E33">
        <w:rPr>
          <w:i/>
        </w:rPr>
        <w:t>d</w:t>
      </w:r>
      <w:r w:rsidR="00E10E33" w:rsidRPr="00E10E33">
        <w:rPr>
          <w:i/>
        </w:rPr>
        <w:t>ia</w:t>
      </w:r>
      <w:r w:rsidRPr="00E10E33">
        <w:rPr>
          <w:i/>
        </w:rPr>
        <w:t>kon</w:t>
      </w:r>
      <w:r>
        <w:t xml:space="preserve"> words in the Gospel are usually used to mean the sort of service associated with waiting at tables, or being an attendant. Examples of this include</w:t>
      </w:r>
      <w:r w:rsidR="008649D8">
        <w:t xml:space="preserve"> Luke 22:</w:t>
      </w:r>
      <w:r>
        <w:t xml:space="preserve"> 24-27, Mark 9:35 and Mark 10:45. However Gooder’s reading of Mark 10:45 makes it clear that the deacon is not at the service of anyone who demands their help but is at the service of God – in other words the deacon works for God but others are the beneficiaries of this service.</w:t>
      </w:r>
      <w:r>
        <w:rPr>
          <w:rStyle w:val="FootnoteReference"/>
        </w:rPr>
        <w:footnoteReference w:id="13"/>
      </w:r>
    </w:p>
    <w:p w:rsidR="008649D8" w:rsidRDefault="00B3748D" w:rsidP="005C2127">
      <w:pPr>
        <w:spacing w:line="480" w:lineRule="auto"/>
      </w:pPr>
      <w:r>
        <w:t>John’s narrative of foot</w:t>
      </w:r>
      <w:r w:rsidR="0011352C">
        <w:t>-</w:t>
      </w:r>
      <w:r>
        <w:t>washing, associated with Deacons by the Common Worship ordinal, does not in fact mention the word diakonia</w:t>
      </w:r>
      <w:r>
        <w:rPr>
          <w:rStyle w:val="FootnoteReference"/>
        </w:rPr>
        <w:footnoteReference w:id="14"/>
      </w:r>
      <w:r w:rsidR="000239DD">
        <w:t>. John 13:</w:t>
      </w:r>
      <w:r>
        <w:t>16 is often translated to read: …’servants are not greater than their master…’</w:t>
      </w:r>
      <w:r>
        <w:rPr>
          <w:rStyle w:val="FootnoteReference"/>
        </w:rPr>
        <w:footnoteReference w:id="15"/>
      </w:r>
      <w:r>
        <w:t xml:space="preserve"> The Greek word here is </w:t>
      </w:r>
      <w:r w:rsidRPr="00E10E33">
        <w:rPr>
          <w:i/>
        </w:rPr>
        <w:t>doulos</w:t>
      </w:r>
      <w:r>
        <w:t xml:space="preserve"> which is more accurately – as the footnotes of this Bible suggest – translated as ‘slave.’ Indeed the word </w:t>
      </w:r>
      <w:r w:rsidRPr="00E10E33">
        <w:rPr>
          <w:i/>
        </w:rPr>
        <w:t>doulos</w:t>
      </w:r>
      <w:r>
        <w:t xml:space="preserve"> appears some 120 times in the New Testament and is translated variously as slave, bond-servant or servant.</w:t>
      </w:r>
      <w:r>
        <w:rPr>
          <w:rStyle w:val="FootnoteReference"/>
        </w:rPr>
        <w:footnoteReference w:id="16"/>
      </w:r>
      <w:r>
        <w:t xml:space="preserve"> While the NRSV version usually translates the word accurately when it is used in parables and in the ep</w:t>
      </w:r>
      <w:r w:rsidR="00E94B6F">
        <w:t>istles it seems to avoid the term ‘slave’</w:t>
      </w:r>
      <w:r>
        <w:t xml:space="preserve"> when the word is used to describe the early apostles. (Cf John 13:16, Acts 4:29, Romans 1:1 and Galatians 1:10).</w:t>
      </w:r>
    </w:p>
    <w:p w:rsidR="00B3748D" w:rsidRDefault="00B3748D" w:rsidP="005C2127">
      <w:pPr>
        <w:spacing w:line="480" w:lineRule="auto"/>
      </w:pPr>
      <w:r>
        <w:t xml:space="preserve">In contrast the word </w:t>
      </w:r>
      <w:r w:rsidRPr="00E10E33">
        <w:rPr>
          <w:i/>
        </w:rPr>
        <w:t>diakonos</w:t>
      </w:r>
      <w:r>
        <w:t xml:space="preserve"> appears just </w:t>
      </w:r>
      <w:r w:rsidR="00E10E33">
        <w:t xml:space="preserve">29 </w:t>
      </w:r>
      <w:r>
        <w:t>times – the literal translation is one who kicks up dust in their haste! However in most Bibles the translation varies between minister and servant.</w:t>
      </w:r>
      <w:r>
        <w:rPr>
          <w:rStyle w:val="FootnoteReference"/>
        </w:rPr>
        <w:footnoteReference w:id="17"/>
      </w:r>
      <w:r>
        <w:t xml:space="preserve"> Translating both words as servant has clearly led to some blurring of their meaning in our understanding of the Biblical texts but in Colossians 4</w:t>
      </w:r>
      <w:r w:rsidR="000239DD">
        <w:t>:</w:t>
      </w:r>
      <w:r>
        <w:t xml:space="preserve"> 7 they are clearly meant to describe two distinct aspects of Tychius’s life and ministry.</w:t>
      </w:r>
    </w:p>
    <w:p w:rsidR="00B3748D" w:rsidRDefault="00B3748D" w:rsidP="005C2127">
      <w:pPr>
        <w:spacing w:line="480" w:lineRule="auto"/>
      </w:pPr>
      <w:r>
        <w:t>A quick scan of the usage of the two w</w:t>
      </w:r>
      <w:r w:rsidR="00E94B6F">
        <w:t>ords side by side suggest</w:t>
      </w:r>
      <w:r>
        <w:t xml:space="preserve"> that </w:t>
      </w:r>
      <w:r w:rsidRPr="00E94B6F">
        <w:rPr>
          <w:i/>
        </w:rPr>
        <w:t>doulos</w:t>
      </w:r>
      <w:r>
        <w:t xml:space="preserve"> is the word Jesus used in his parables and teaching to describe the relationship between God and humanity whereas the </w:t>
      </w:r>
      <w:r w:rsidR="00E94B6F">
        <w:rPr>
          <w:i/>
        </w:rPr>
        <w:t>d</w:t>
      </w:r>
      <w:r w:rsidRPr="00E94B6F">
        <w:rPr>
          <w:i/>
        </w:rPr>
        <w:t>i</w:t>
      </w:r>
      <w:r w:rsidR="00E94B6F">
        <w:rPr>
          <w:i/>
        </w:rPr>
        <w:t>a</w:t>
      </w:r>
      <w:r w:rsidRPr="00E94B6F">
        <w:rPr>
          <w:i/>
        </w:rPr>
        <w:t>kon</w:t>
      </w:r>
      <w:r>
        <w:t xml:space="preserve"> word is more used to describe the people of God in action. This distinction could mirror the distinction Gooder makes between being a disciple (being) and a minister (doing).</w:t>
      </w:r>
      <w:r>
        <w:rPr>
          <w:rStyle w:val="FootnoteReference"/>
        </w:rPr>
        <w:footnoteReference w:id="18"/>
      </w:r>
    </w:p>
    <w:p w:rsidR="00B3748D" w:rsidRDefault="00B3748D" w:rsidP="005C2127">
      <w:pPr>
        <w:spacing w:line="480" w:lineRule="auto"/>
      </w:pPr>
      <w:r>
        <w:t xml:space="preserve">It also begs the question as to whether priests who are being ordained as a deacon/footwasher are actually reaffirming their </w:t>
      </w:r>
      <w:r w:rsidRPr="00641585">
        <w:rPr>
          <w:i/>
        </w:rPr>
        <w:t>doulos</w:t>
      </w:r>
      <w:r>
        <w:t xml:space="preserve"> relationship with God as the primary relationship between God and God’s people or are they deliberately committing themselves to the specific tasks of the diaconate</w:t>
      </w:r>
      <w:r w:rsidR="00397FF7">
        <w:t xml:space="preserve">, tasks </w:t>
      </w:r>
      <w:r>
        <w:t xml:space="preserve">which will </w:t>
      </w:r>
      <w:r w:rsidR="00397FF7">
        <w:t xml:space="preserve">be </w:t>
      </w:r>
      <w:r>
        <w:t>explore</w:t>
      </w:r>
      <w:r w:rsidR="00641585">
        <w:t>d</w:t>
      </w:r>
      <w:r>
        <w:t xml:space="preserve"> in this essay</w:t>
      </w:r>
      <w:r w:rsidR="00B1122C">
        <w:t>.</w:t>
      </w:r>
    </w:p>
    <w:p w:rsidR="00BD5F56" w:rsidRDefault="00BD5F56" w:rsidP="005C2127">
      <w:pPr>
        <w:spacing w:line="480" w:lineRule="auto"/>
        <w:rPr>
          <w:rStyle w:val="footnote-text"/>
          <w:iCs/>
        </w:rPr>
      </w:pPr>
      <w:r>
        <w:t>Interestingly</w:t>
      </w:r>
      <w:r w:rsidR="00641585">
        <w:t>,</w:t>
      </w:r>
      <w:r>
        <w:t xml:space="preserve"> Kenneth Cragg, in his reflection on ministry hints at the image of slavery when he talks about a liberating captivity which frees from the tyranny of false desires and leads to a self-possession. The captivity is named as ‘the unbinding selfishness, which is the love of God.’</w:t>
      </w:r>
      <w:r w:rsidR="00DB5D5C">
        <w:rPr>
          <w:rStyle w:val="FootnoteReference"/>
        </w:rPr>
        <w:footnoteReference w:id="19"/>
      </w:r>
      <w:r>
        <w:t xml:space="preserve"> While I welcome this exploration of </w:t>
      </w:r>
      <w:r w:rsidRPr="00641585">
        <w:rPr>
          <w:i/>
        </w:rPr>
        <w:t>doulos</w:t>
      </w:r>
      <w:r>
        <w:t xml:space="preserve"> as ministry I am unsure how one in slavery can claim self-possession.</w:t>
      </w:r>
      <w:r w:rsidR="00DB5D5C">
        <w:t xml:space="preserve"> It is interesting to note that the </w:t>
      </w:r>
      <w:r w:rsidR="00B1122C">
        <w:t xml:space="preserve">Common Worship </w:t>
      </w:r>
      <w:r w:rsidR="00DB5D5C">
        <w:t>ordination service</w:t>
      </w:r>
      <w:r w:rsidR="00B1122C">
        <w:t xml:space="preserve">s, for both priests and deacons, </w:t>
      </w:r>
      <w:r w:rsidR="00DB5D5C">
        <w:t xml:space="preserve"> virtually opens with the words from 1 Peter 2 v 9 “God calls his people to follow Christ, and forms us into a royal priesthood, a holy nation, to declare the wonderful deeds of him who has called us out of darkness into his marvellous light,”</w:t>
      </w:r>
      <w:r w:rsidR="00DB5D5C">
        <w:rPr>
          <w:rStyle w:val="FootnoteReference"/>
        </w:rPr>
        <w:footnoteReference w:id="20"/>
      </w:r>
      <w:r w:rsidR="00DB5D5C">
        <w:t xml:space="preserve"> but misses the clause from the verse which is directly translated as “</w:t>
      </w:r>
      <w:r w:rsidR="00DB5D5C" w:rsidRPr="00DB5D5C">
        <w:rPr>
          <w:rStyle w:val="footnote-text"/>
          <w:iCs/>
        </w:rPr>
        <w:t>a people for his (God’s) possession.</w:t>
      </w:r>
      <w:r w:rsidR="00DB5D5C">
        <w:rPr>
          <w:rStyle w:val="FootnoteReference"/>
          <w:iCs/>
        </w:rPr>
        <w:footnoteReference w:id="21"/>
      </w:r>
      <w:r w:rsidR="00E94B6F">
        <w:rPr>
          <w:rStyle w:val="footnote-text"/>
          <w:iCs/>
        </w:rPr>
        <w:t xml:space="preserve"> What seems</w:t>
      </w:r>
      <w:r w:rsidR="00DB5D5C">
        <w:rPr>
          <w:rStyle w:val="footnote-text"/>
          <w:iCs/>
        </w:rPr>
        <w:t xml:space="preserve"> clear</w:t>
      </w:r>
      <w:r w:rsidR="00E94B6F">
        <w:rPr>
          <w:rStyle w:val="footnote-text"/>
          <w:iCs/>
        </w:rPr>
        <w:t xml:space="preserve"> is</w:t>
      </w:r>
      <w:r w:rsidR="00DB5D5C">
        <w:rPr>
          <w:rStyle w:val="footnote-text"/>
          <w:iCs/>
        </w:rPr>
        <w:t xml:space="preserve"> that in our contemporary context, imag</w:t>
      </w:r>
      <w:r w:rsidR="00E94B6F">
        <w:rPr>
          <w:rStyle w:val="footnote-text"/>
          <w:iCs/>
        </w:rPr>
        <w:t>es of slavery are</w:t>
      </w:r>
      <w:r w:rsidR="00DB5D5C">
        <w:rPr>
          <w:rStyle w:val="footnote-text"/>
          <w:iCs/>
        </w:rPr>
        <w:t xml:space="preserve"> troubling metaphors for a covenant of love between God and God’s people.</w:t>
      </w:r>
      <w:r w:rsidR="00397FF7">
        <w:rPr>
          <w:rStyle w:val="footnote-text"/>
          <w:iCs/>
        </w:rPr>
        <w:t xml:space="preserve"> Our understanding of slavery is m</w:t>
      </w:r>
      <w:r w:rsidR="00E94B6F">
        <w:rPr>
          <w:rStyle w:val="footnote-text"/>
          <w:iCs/>
        </w:rPr>
        <w:t>ainly based on descriptions</w:t>
      </w:r>
      <w:r w:rsidR="00397FF7">
        <w:rPr>
          <w:rStyle w:val="footnote-text"/>
          <w:iCs/>
        </w:rPr>
        <w:t xml:space="preserve"> of the trans-</w:t>
      </w:r>
      <w:r w:rsidR="007F4866">
        <w:rPr>
          <w:rStyle w:val="footnote-text"/>
          <w:iCs/>
        </w:rPr>
        <w:t>A</w:t>
      </w:r>
      <w:r w:rsidR="00397FF7">
        <w:rPr>
          <w:rStyle w:val="footnote-text"/>
          <w:iCs/>
        </w:rPr>
        <w:t>tlantic slave trade and the brutality, violence and exploitation that characterised it. However this was not the context of Biblical times</w:t>
      </w:r>
      <w:r w:rsidR="00761DAF">
        <w:rPr>
          <w:rStyle w:val="footnote-text"/>
          <w:iCs/>
        </w:rPr>
        <w:t xml:space="preserve"> according to the work of Dale Martin, whose book on slavery  </w:t>
      </w:r>
      <w:r w:rsidR="00761DAF" w:rsidRPr="00761DAF">
        <w:rPr>
          <w:rStyle w:val="footnote-text"/>
          <w:i/>
          <w:iCs/>
        </w:rPr>
        <w:t>Slavery as Salvation</w:t>
      </w:r>
      <w:r w:rsidR="00761DAF">
        <w:rPr>
          <w:rStyle w:val="footnote-text"/>
          <w:iCs/>
        </w:rPr>
        <w:t xml:space="preserve"> complements John N Collins work on </w:t>
      </w:r>
      <w:r w:rsidR="008A7E95">
        <w:rPr>
          <w:rStyle w:val="footnote-text"/>
          <w:iCs/>
        </w:rPr>
        <w:t>servanthood</w:t>
      </w:r>
      <w:r w:rsidR="00397FF7">
        <w:rPr>
          <w:rStyle w:val="footnote-text"/>
          <w:iCs/>
        </w:rPr>
        <w:t>.</w:t>
      </w:r>
    </w:p>
    <w:p w:rsidR="00761DAF" w:rsidRDefault="00761DAF" w:rsidP="005C2127">
      <w:pPr>
        <w:spacing w:line="480" w:lineRule="auto"/>
        <w:rPr>
          <w:rFonts w:eastAsia="Times New Roman" w:cs="Arial"/>
        </w:rPr>
      </w:pPr>
      <w:r>
        <w:rPr>
          <w:rStyle w:val="footnote-text"/>
          <w:iCs/>
        </w:rPr>
        <w:t>The Mission and Ministry of the Whole Church report states: “</w:t>
      </w:r>
      <w:r w:rsidRPr="00761DAF">
        <w:rPr>
          <w:rFonts w:eastAsia="Times New Roman" w:cs="Arial"/>
        </w:rPr>
        <w:t xml:space="preserve">Dale Martin has argued persuasively that slavery must also be seen to have a meaning that is much wider than menial service. In his book </w:t>
      </w:r>
      <w:r w:rsidRPr="00641585">
        <w:rPr>
          <w:rFonts w:eastAsia="Times New Roman" w:cs="Arial"/>
          <w:i/>
        </w:rPr>
        <w:t>Slavery as Salvation</w:t>
      </w:r>
      <w:r w:rsidRPr="00761DAF">
        <w:rPr>
          <w:rFonts w:eastAsia="Times New Roman" w:cs="Arial"/>
        </w:rPr>
        <w:t xml:space="preserve"> he argues that a slave with a good master could be upwardly mobile and end up supervising estates, managing accounts and on occasion actually be a delegate for the master.</w:t>
      </w:r>
      <w:r>
        <w:rPr>
          <w:rFonts w:eastAsia="Times New Roman" w:cs="Arial"/>
        </w:rPr>
        <w:t>”</w:t>
      </w:r>
      <w:r>
        <w:rPr>
          <w:rStyle w:val="FootnoteReference"/>
          <w:rFonts w:eastAsia="Times New Roman" w:cs="Arial"/>
        </w:rPr>
        <w:footnoteReference w:id="22"/>
      </w:r>
    </w:p>
    <w:p w:rsidR="00761DAF" w:rsidRPr="00761DAF" w:rsidRDefault="00761DAF" w:rsidP="005C2127">
      <w:pPr>
        <w:spacing w:line="480" w:lineRule="auto"/>
      </w:pPr>
      <w:r>
        <w:rPr>
          <w:rFonts w:eastAsia="Times New Roman" w:cs="Arial"/>
        </w:rPr>
        <w:t>Being able to differentiate the Biblical usage of the words</w:t>
      </w:r>
      <w:r w:rsidRPr="00761DAF">
        <w:rPr>
          <w:rFonts w:eastAsia="Times New Roman" w:cs="Arial"/>
          <w:i/>
        </w:rPr>
        <w:t xml:space="preserve"> doulos</w:t>
      </w:r>
      <w:r>
        <w:rPr>
          <w:rFonts w:eastAsia="Times New Roman" w:cs="Arial"/>
        </w:rPr>
        <w:t xml:space="preserve"> and </w:t>
      </w:r>
      <w:r w:rsidRPr="00761DAF">
        <w:rPr>
          <w:rFonts w:eastAsia="Times New Roman" w:cs="Arial"/>
          <w:i/>
        </w:rPr>
        <w:t xml:space="preserve">diakonia </w:t>
      </w:r>
      <w:r>
        <w:rPr>
          <w:rFonts w:eastAsia="Times New Roman" w:cs="Arial"/>
        </w:rPr>
        <w:t>might well help clarify the role of the deacon – however this would be need huge amounts of theological work and much explanation in order not to be damaging to those living with the legacy of the trans-Atlantic slave trade.</w:t>
      </w:r>
    </w:p>
    <w:p w:rsidR="00B3748D" w:rsidRPr="00E94B6F" w:rsidRDefault="00B3748D" w:rsidP="005C2127">
      <w:pPr>
        <w:pStyle w:val="Heading3"/>
        <w:spacing w:line="480" w:lineRule="auto"/>
        <w:rPr>
          <w:b w:val="0"/>
        </w:rPr>
      </w:pPr>
      <w:bookmarkStart w:id="6" w:name="_Toc428110548"/>
      <w:r w:rsidRPr="00E94B6F">
        <w:rPr>
          <w:b w:val="0"/>
        </w:rPr>
        <w:t>Paul as deacon and deacons in the Pauline tradition</w:t>
      </w:r>
      <w:bookmarkEnd w:id="6"/>
      <w:r w:rsidR="00B61224">
        <w:rPr>
          <w:b w:val="0"/>
        </w:rPr>
        <w:br/>
      </w:r>
    </w:p>
    <w:p w:rsidR="00B3748D" w:rsidRDefault="00B3748D" w:rsidP="005C2127">
      <w:pPr>
        <w:spacing w:line="480" w:lineRule="auto"/>
      </w:pPr>
      <w:r>
        <w:t>Paul is at pai</w:t>
      </w:r>
      <w:r w:rsidR="00E94B6F">
        <w:t xml:space="preserve">ns to establish himself as a </w:t>
      </w:r>
      <w:r w:rsidR="00E94B6F" w:rsidRPr="00E94B6F">
        <w:rPr>
          <w:i/>
        </w:rPr>
        <w:t>dia</w:t>
      </w:r>
      <w:r w:rsidRPr="00E94B6F">
        <w:rPr>
          <w:i/>
        </w:rPr>
        <w:t>kon</w:t>
      </w:r>
      <w:r>
        <w:t xml:space="preserve">, even over </w:t>
      </w:r>
      <w:r w:rsidR="00641585">
        <w:t xml:space="preserve">and above the title of apostle </w:t>
      </w:r>
      <w:r>
        <w:t>(2 Corinthians 3:6)</w:t>
      </w:r>
      <w:r w:rsidR="00641585">
        <w:t>.</w:t>
      </w:r>
      <w:r>
        <w:t xml:space="preserve"> Collins sees this as Paul laying claim to a privileged title and suggests a reason for it: ‘As an apostle, one needs credentials and credentials can be challenged. The authenticity of God’s </w:t>
      </w:r>
      <w:r w:rsidRPr="00E94B6F">
        <w:rPr>
          <w:i/>
        </w:rPr>
        <w:t>diakono</w:t>
      </w:r>
      <w:r>
        <w:t>s, on the other hand, speaks for itself: it is the Lord who speaks.’</w:t>
      </w:r>
      <w:r>
        <w:rPr>
          <w:rStyle w:val="FootnoteReference"/>
        </w:rPr>
        <w:footnoteReference w:id="23"/>
      </w:r>
    </w:p>
    <w:p w:rsidR="00B3748D" w:rsidRDefault="00B3748D" w:rsidP="005C2127">
      <w:pPr>
        <w:spacing w:line="480" w:lineRule="auto"/>
      </w:pPr>
      <w:r>
        <w:t xml:space="preserve">For Collins this proximity to the divine defines the role – he goes on to say: ‘(Paul’s) role as </w:t>
      </w:r>
      <w:r w:rsidRPr="00E94B6F">
        <w:rPr>
          <w:i/>
        </w:rPr>
        <w:t>diakonos</w:t>
      </w:r>
      <w:r>
        <w:t xml:space="preserve"> placed him in immediate connection with the sphere of the divine and required him to extend the influence of that sphere among as many as might be open to the grace of its illumination.’</w:t>
      </w:r>
      <w:r>
        <w:rPr>
          <w:rStyle w:val="FootnoteReference"/>
        </w:rPr>
        <w:footnoteReference w:id="24"/>
      </w:r>
      <w:r>
        <w:t xml:space="preserve"> Thus Paul is far from a servant on the outer reaches of a household but is central to the operations of God and charged with a mission that Collins defines in short as the Ministry of the Word, which must take place both inside and outside the Church.</w:t>
      </w:r>
      <w:r>
        <w:rPr>
          <w:rStyle w:val="FootnoteReference"/>
        </w:rPr>
        <w:footnoteReference w:id="25"/>
      </w:r>
    </w:p>
    <w:p w:rsidR="00B3748D" w:rsidRDefault="00B3748D" w:rsidP="005C2127">
      <w:pPr>
        <w:spacing w:line="480" w:lineRule="auto"/>
      </w:pPr>
      <w:r>
        <w:t>It is through this lens that Collins re-reads Acts 6, the appointing of the seven deacons claiming that their ministry at table was far from that of waiters or attendants but as ministers of the word for those who were at risk of missing out on the teaching of the apostles. From these few verses in Acts (Chapter 6:1-6), Collins draws four firm conclusions:</w:t>
      </w:r>
    </w:p>
    <w:p w:rsidR="00B3748D" w:rsidRDefault="00B3748D" w:rsidP="005C2127">
      <w:pPr>
        <w:pStyle w:val="ListParagraph"/>
        <w:numPr>
          <w:ilvl w:val="0"/>
          <w:numId w:val="1"/>
        </w:numPr>
        <w:spacing w:line="480" w:lineRule="auto"/>
      </w:pPr>
      <w:r>
        <w:t>“This passage about the seven who were selected ‘to minister at tables’ teaches the church that it must always put arrangements in place to extend the ministry of the word to those who look for it but are not hearing it. In this case the people were the Hellenistic Widows.</w:t>
      </w:r>
    </w:p>
    <w:p w:rsidR="00B3748D" w:rsidRDefault="00B3748D" w:rsidP="005C2127">
      <w:pPr>
        <w:pStyle w:val="ListParagraph"/>
        <w:numPr>
          <w:ilvl w:val="0"/>
          <w:numId w:val="1"/>
        </w:numPr>
        <w:spacing w:line="480" w:lineRule="auto"/>
      </w:pPr>
      <w:r>
        <w:t>The church also learns that it must adapt its ministry for changing times</w:t>
      </w:r>
    </w:p>
    <w:p w:rsidR="00B3748D" w:rsidRDefault="00B3748D" w:rsidP="005C2127">
      <w:pPr>
        <w:pStyle w:val="ListParagraph"/>
        <w:numPr>
          <w:ilvl w:val="0"/>
          <w:numId w:val="1"/>
        </w:numPr>
        <w:spacing w:line="480" w:lineRule="auto"/>
      </w:pPr>
      <w:r>
        <w:t>The church needs to maintain order in its ministry to help ensure its integrity across changing generations</w:t>
      </w:r>
    </w:p>
    <w:p w:rsidR="00B3748D" w:rsidRDefault="00B3748D" w:rsidP="005C2127">
      <w:pPr>
        <w:pStyle w:val="ListParagraph"/>
        <w:numPr>
          <w:ilvl w:val="0"/>
          <w:numId w:val="1"/>
        </w:numPr>
        <w:spacing w:line="480" w:lineRule="auto"/>
      </w:pPr>
      <w:r>
        <w:t>The passage thus declares the place of ordained  - or commissioned  ministers in the church – including deacons – but does not speak of specifically deacons or diaconal tasks.</w:t>
      </w:r>
      <w:r w:rsidR="000239DD">
        <w:t>”</w:t>
      </w:r>
      <w:r>
        <w:rPr>
          <w:rStyle w:val="FootnoteReference"/>
        </w:rPr>
        <w:footnoteReference w:id="26"/>
      </w:r>
    </w:p>
    <w:p w:rsidR="0032719B" w:rsidRDefault="0032719B" w:rsidP="005C2127">
      <w:pPr>
        <w:spacing w:line="480" w:lineRule="auto"/>
      </w:pPr>
      <w:r>
        <w:t>This reading of Acts gives a neat and apt theological underpinning for the exploration of a renewed diaconate in a time when the</w:t>
      </w:r>
      <w:r w:rsidR="00E94B6F">
        <w:t xml:space="preserve"> world is changing</w:t>
      </w:r>
      <w:r>
        <w:t xml:space="preserve"> and when people of other faiths might welcome the chance to understand more about the Christian faith</w:t>
      </w:r>
      <w:r w:rsidR="00B1122C">
        <w:t>. Adapting is necessary but so is maintaining the order of the Church.  This reading suggests that a re-emergence of deacons as an order of missionary and outward-focussed ministers might well help the church engage in both an increasingly secular and an increasingly religiously plural context.</w:t>
      </w:r>
    </w:p>
    <w:p w:rsidR="009D19C1" w:rsidRDefault="0032719B" w:rsidP="005C2127">
      <w:pPr>
        <w:spacing w:line="480" w:lineRule="auto"/>
      </w:pPr>
      <w:r>
        <w:t xml:space="preserve">It also </w:t>
      </w:r>
      <w:r w:rsidR="009D19C1">
        <w:t>fits neatly with the explanation given by Justin the Martyr who wrote in the second century</w:t>
      </w:r>
      <w:r>
        <w:t xml:space="preserve"> </w:t>
      </w:r>
      <w:r w:rsidR="009D19C1">
        <w:t xml:space="preserve">that it is the deacons who ensure that those who are absent from the liturgy may fully share in the worship of the Church. It does not take much for this definition to have evolved nearly 2,000 years later into the deacon as Pioneer </w:t>
      </w:r>
      <w:r w:rsidR="00641585">
        <w:t>M</w:t>
      </w:r>
      <w:r w:rsidR="009D19C1">
        <w:t>issioner, based on attributes of deaconing that Luke describes as Paul’s ministry in Acts 20:18-20.  As defined by Croft these are:</w:t>
      </w:r>
    </w:p>
    <w:p w:rsidR="009D19C1" w:rsidRDefault="009D19C1" w:rsidP="005C2127">
      <w:pPr>
        <w:pStyle w:val="ListParagraph"/>
        <w:numPr>
          <w:ilvl w:val="0"/>
          <w:numId w:val="2"/>
        </w:numPr>
        <w:spacing w:line="480" w:lineRule="auto"/>
      </w:pPr>
      <w:r>
        <w:t>The embrace of incarnational mission</w:t>
      </w:r>
    </w:p>
    <w:p w:rsidR="009D19C1" w:rsidRDefault="009D19C1" w:rsidP="005C2127">
      <w:pPr>
        <w:pStyle w:val="ListParagraph"/>
        <w:numPr>
          <w:ilvl w:val="0"/>
          <w:numId w:val="2"/>
        </w:numPr>
        <w:spacing w:line="480" w:lineRule="auto"/>
      </w:pPr>
      <w:r>
        <w:t>Humility</w:t>
      </w:r>
    </w:p>
    <w:p w:rsidR="009D19C1" w:rsidRDefault="009D19C1" w:rsidP="005C2127">
      <w:pPr>
        <w:pStyle w:val="ListParagraph"/>
        <w:numPr>
          <w:ilvl w:val="0"/>
          <w:numId w:val="2"/>
        </w:numPr>
        <w:spacing w:line="480" w:lineRule="auto"/>
      </w:pPr>
      <w:r>
        <w:t xml:space="preserve">The formation of new </w:t>
      </w:r>
      <w:r w:rsidR="00641585">
        <w:t>communities</w:t>
      </w:r>
    </w:p>
    <w:p w:rsidR="009D19C1" w:rsidRDefault="009D19C1" w:rsidP="005C2127">
      <w:pPr>
        <w:pStyle w:val="ListParagraph"/>
        <w:numPr>
          <w:ilvl w:val="0"/>
          <w:numId w:val="2"/>
        </w:numPr>
        <w:spacing w:line="480" w:lineRule="auto"/>
      </w:pPr>
      <w:r>
        <w:t>Proclamation</w:t>
      </w:r>
    </w:p>
    <w:p w:rsidR="009D19C1" w:rsidRDefault="009D19C1" w:rsidP="005C2127">
      <w:pPr>
        <w:pStyle w:val="ListParagraph"/>
        <w:numPr>
          <w:ilvl w:val="0"/>
          <w:numId w:val="2"/>
        </w:numPr>
        <w:spacing w:line="480" w:lineRule="auto"/>
      </w:pPr>
      <w:r>
        <w:t>Suffering for the sake of the Gospel.</w:t>
      </w:r>
      <w:r>
        <w:rPr>
          <w:rStyle w:val="FootnoteReference"/>
        </w:rPr>
        <w:footnoteReference w:id="27"/>
      </w:r>
    </w:p>
    <w:p w:rsidR="009D19C1" w:rsidRPr="00641585" w:rsidRDefault="00927585" w:rsidP="005C2127">
      <w:pPr>
        <w:pStyle w:val="Heading3"/>
        <w:spacing w:line="480" w:lineRule="auto"/>
        <w:rPr>
          <w:b w:val="0"/>
        </w:rPr>
      </w:pPr>
      <w:bookmarkStart w:id="7" w:name="_Toc428110549"/>
      <w:r w:rsidRPr="00641585">
        <w:rPr>
          <w:b w:val="0"/>
        </w:rPr>
        <w:t>A word in Flux</w:t>
      </w:r>
      <w:bookmarkEnd w:id="7"/>
      <w:r w:rsidR="00B61224">
        <w:rPr>
          <w:b w:val="0"/>
        </w:rPr>
        <w:br/>
      </w:r>
    </w:p>
    <w:p w:rsidR="00927585" w:rsidRDefault="00927585" w:rsidP="005C2127">
      <w:pPr>
        <w:spacing w:line="480" w:lineRule="auto"/>
      </w:pPr>
      <w:r>
        <w:t xml:space="preserve">While Collins firmly takes the meaning of the word </w:t>
      </w:r>
      <w:r w:rsidRPr="00E94B6F">
        <w:rPr>
          <w:i/>
        </w:rPr>
        <w:t>diakon</w:t>
      </w:r>
      <w:r>
        <w:t xml:space="preserve"> from service to spokesperson, years of symbolism, practice and theology</w:t>
      </w:r>
      <w:r w:rsidR="0032719B">
        <w:t xml:space="preserve"> have created collocations and patterns that are</w:t>
      </w:r>
      <w:r>
        <w:t xml:space="preserve"> hard to change and much practice we see today around the ecumenical globe draws its understanding from the meanings given around attendant, waiter, servant and retainer. Ministry and servant-hood are often contrasted </w:t>
      </w:r>
      <w:r w:rsidR="00641585">
        <w:t>whereas</w:t>
      </w:r>
      <w:r>
        <w:t xml:space="preserve"> the word </w:t>
      </w:r>
      <w:r w:rsidRPr="00E94B6F">
        <w:rPr>
          <w:i/>
        </w:rPr>
        <w:t>diakon</w:t>
      </w:r>
      <w:r>
        <w:t xml:space="preserve"> manages to hold in tension both words.</w:t>
      </w:r>
    </w:p>
    <w:p w:rsidR="00927585" w:rsidRDefault="00927585" w:rsidP="005C2127">
      <w:pPr>
        <w:spacing w:line="480" w:lineRule="auto"/>
      </w:pPr>
      <w:r>
        <w:t>Deacons and deaconesses around the world and throughout history have been inspired by their understanding of their calling to undertake heroic acts of social care and pastoral acts which cannot be dismissed lightly.  However it is perhaps the church that has missed out most from the narrow reading of the word that has taken the focus of the diaconate away from a ministry that is untested in its fruitfulness. Collins clearly sees much missed potential as he writes: ‘The misreading of the diaconate as loving service has n</w:t>
      </w:r>
      <w:r w:rsidR="009462FE">
        <w:t xml:space="preserve">ot been productive engendering </w:t>
      </w:r>
      <w:r>
        <w:t>outreach to the neglected of our societies... In doing so it merely distracts the churches from the tasks, first of discerning the foundational ecclesial reality trumpeted by Paul in the “diakonia of reconciliation” (2 Cor 5:18) and second, of confronting the challenges of embodying that in their institutions.’</w:t>
      </w:r>
      <w:r>
        <w:rPr>
          <w:rStyle w:val="FootnoteReference"/>
        </w:rPr>
        <w:footnoteReference w:id="28"/>
      </w:r>
    </w:p>
    <w:p w:rsidR="00A02E85" w:rsidRDefault="00A02E85" w:rsidP="005C2127">
      <w:pPr>
        <w:spacing w:line="480" w:lineRule="auto"/>
      </w:pPr>
      <w:r>
        <w:t>Interestingly, reconciliation, and the end of retaliation is the primary mode of ministry suggested by Kenneth Cragg for those who wish to engage with people of other faiths. He says: “It follows that any Christian ministry within ‘the wounded hand’ is the sort of victory over retaliatory enemies...What we have come to know as ‘dialogue’ is plainly in this non-retaliatory tradition in this it seeks mutual comprehension and takes even necessary controversy into expectant hope.”</w:t>
      </w:r>
    </w:p>
    <w:p w:rsidR="00A02E85" w:rsidRDefault="00BD5F56" w:rsidP="005C2127">
      <w:pPr>
        <w:spacing w:line="480" w:lineRule="auto"/>
      </w:pPr>
      <w:r>
        <w:t>While Cragg does not specify that this ministry is in the diaconal mode his</w:t>
      </w:r>
      <w:r w:rsidR="00A02E85">
        <w:t xml:space="preserve"> idea of a deacon as facilitator of dialogue also fits well with Collins’ understanding of diakonia as spokesperson, messenger or go-between. This new understandi</w:t>
      </w:r>
      <w:r w:rsidR="00641585">
        <w:t xml:space="preserve">ng also suggests </w:t>
      </w:r>
      <w:r w:rsidR="00A02E85">
        <w:t xml:space="preserve">the deacon </w:t>
      </w:r>
      <w:r w:rsidR="00641585">
        <w:t xml:space="preserve">could be </w:t>
      </w:r>
      <w:r w:rsidR="00A02E85">
        <w:t xml:space="preserve">a minister </w:t>
      </w:r>
      <w:r w:rsidR="00641585">
        <w:t xml:space="preserve">who </w:t>
      </w:r>
      <w:r w:rsidR="00A02E85">
        <w:t>can hold in tension the need to belong to, represent and stay faithful to their own faith tradition yet carry a mandate to engage, speak to, learn from and interpret the other on behalf of the Church.</w:t>
      </w:r>
    </w:p>
    <w:p w:rsidR="00832457" w:rsidRDefault="00832457" w:rsidP="005C2127">
      <w:pPr>
        <w:spacing w:line="480" w:lineRule="auto"/>
      </w:pPr>
      <w:r>
        <w:t>Avis and Gooder both agree that: ‘Any reader of the Greek New Testament can see that humble service is an inept and inappropriate hermeneutic at least for Paul’s and Luke’s use of the terms.’</w:t>
      </w:r>
      <w:r>
        <w:rPr>
          <w:rStyle w:val="FootnoteReference"/>
        </w:rPr>
        <w:footnoteReference w:id="29"/>
      </w:r>
      <w:r>
        <w:t xml:space="preserve"> However I want to be clear that in rejecting the marriage of the word deacon to concept of service I am not shunning the idea of service for</w:t>
      </w:r>
      <w:r w:rsidR="00BD5F56">
        <w:t xml:space="preserve"> the</w:t>
      </w:r>
      <w:r>
        <w:t xml:space="preserve"> ordained minister nor decrying its importance. It is because of its importance that it cannot be limited to the realm of the diaconate, to those with particular commissions, but must be an engrained, foundational element of the discipleship embraced by all believers.</w:t>
      </w:r>
    </w:p>
    <w:p w:rsidR="00832457" w:rsidRPr="00391027" w:rsidRDefault="00832457" w:rsidP="005C2127">
      <w:pPr>
        <w:pStyle w:val="Heading2"/>
        <w:spacing w:line="480" w:lineRule="auto"/>
        <w:rPr>
          <w:b w:val="0"/>
          <w:sz w:val="28"/>
          <w:szCs w:val="28"/>
        </w:rPr>
      </w:pPr>
      <w:bookmarkStart w:id="8" w:name="_Toc428110550"/>
      <w:r w:rsidRPr="00391027">
        <w:rPr>
          <w:b w:val="0"/>
          <w:sz w:val="28"/>
          <w:szCs w:val="28"/>
        </w:rPr>
        <w:t xml:space="preserve">The </w:t>
      </w:r>
      <w:r w:rsidR="00EC6403">
        <w:rPr>
          <w:b w:val="0"/>
          <w:sz w:val="28"/>
          <w:szCs w:val="28"/>
        </w:rPr>
        <w:t>Diaconat</w:t>
      </w:r>
      <w:r w:rsidR="00B61224">
        <w:rPr>
          <w:b w:val="0"/>
          <w:sz w:val="28"/>
          <w:szCs w:val="28"/>
        </w:rPr>
        <w:t xml:space="preserve">e in Contemporary </w:t>
      </w:r>
      <w:r w:rsidR="00072A20">
        <w:rPr>
          <w:b w:val="0"/>
          <w:sz w:val="28"/>
          <w:szCs w:val="28"/>
        </w:rPr>
        <w:t>Texts</w:t>
      </w:r>
      <w:bookmarkEnd w:id="8"/>
    </w:p>
    <w:p w:rsidR="005C0C92" w:rsidRPr="005C0C92" w:rsidRDefault="00D966D0" w:rsidP="005C2127">
      <w:pPr>
        <w:pStyle w:val="NormalWeb"/>
        <w:spacing w:line="480" w:lineRule="auto"/>
        <w:rPr>
          <w:rFonts w:asciiTheme="minorHAnsi" w:hAnsiTheme="minorHAnsi"/>
          <w:sz w:val="22"/>
          <w:szCs w:val="22"/>
        </w:rPr>
      </w:pPr>
      <w:r w:rsidRPr="005C0C92">
        <w:rPr>
          <w:rFonts w:asciiTheme="minorHAnsi" w:hAnsiTheme="minorHAnsi"/>
          <w:sz w:val="22"/>
          <w:szCs w:val="22"/>
        </w:rPr>
        <w:t>This first table</w:t>
      </w:r>
      <w:r w:rsidR="00E94B6F">
        <w:rPr>
          <w:rFonts w:asciiTheme="minorHAnsi" w:hAnsiTheme="minorHAnsi"/>
          <w:sz w:val="22"/>
          <w:szCs w:val="22"/>
        </w:rPr>
        <w:t>, Appendix 1</w:t>
      </w:r>
      <w:r w:rsidR="00641585">
        <w:rPr>
          <w:rFonts w:asciiTheme="minorHAnsi" w:hAnsiTheme="minorHAnsi"/>
          <w:sz w:val="22"/>
          <w:szCs w:val="22"/>
        </w:rPr>
        <w:t xml:space="preserve">, </w:t>
      </w:r>
      <w:r w:rsidR="00641585" w:rsidRPr="005C0C92">
        <w:rPr>
          <w:rFonts w:asciiTheme="minorHAnsi" w:hAnsiTheme="minorHAnsi"/>
          <w:sz w:val="22"/>
          <w:szCs w:val="22"/>
        </w:rPr>
        <w:t>represents</w:t>
      </w:r>
      <w:r w:rsidRPr="005C0C92">
        <w:rPr>
          <w:rFonts w:asciiTheme="minorHAnsi" w:hAnsiTheme="minorHAnsi"/>
          <w:sz w:val="22"/>
          <w:szCs w:val="22"/>
        </w:rPr>
        <w:t xml:space="preserve"> a summary of the descriptors used of deacons and their ministry in the books and documents included in the short reading list on the diaconate given to students in the final year of their formation</w:t>
      </w:r>
      <w:r w:rsidR="005C0C92" w:rsidRPr="005C0C92">
        <w:rPr>
          <w:rFonts w:asciiTheme="minorHAnsi" w:hAnsiTheme="minorHAnsi"/>
          <w:sz w:val="22"/>
          <w:szCs w:val="22"/>
        </w:rPr>
        <w:t xml:space="preserve"> at the Queens Foundation in Birmingham</w:t>
      </w:r>
      <w:r w:rsidRPr="005C0C92">
        <w:rPr>
          <w:rFonts w:asciiTheme="minorHAnsi" w:hAnsiTheme="minorHAnsi"/>
          <w:sz w:val="22"/>
          <w:szCs w:val="22"/>
        </w:rPr>
        <w:t>. The books are:</w:t>
      </w:r>
      <w:r w:rsidR="005C0C92" w:rsidRPr="005C0C92">
        <w:rPr>
          <w:rFonts w:asciiTheme="minorHAnsi" w:hAnsiTheme="minorHAnsi"/>
          <w:sz w:val="22"/>
          <w:szCs w:val="22"/>
        </w:rPr>
        <w:t xml:space="preserve"> </w:t>
      </w:r>
    </w:p>
    <w:p w:rsidR="005C0C92" w:rsidRPr="005C0C92" w:rsidRDefault="005C0C92" w:rsidP="005C2127">
      <w:pPr>
        <w:pStyle w:val="NormalWeb"/>
        <w:spacing w:line="480" w:lineRule="auto"/>
        <w:rPr>
          <w:rFonts w:asciiTheme="minorHAnsi" w:hAnsiTheme="minorHAnsi"/>
          <w:sz w:val="22"/>
          <w:szCs w:val="22"/>
        </w:rPr>
      </w:pPr>
      <w:r w:rsidRPr="005C0C92">
        <w:rPr>
          <w:rFonts w:asciiTheme="minorHAnsi" w:hAnsiTheme="minorHAnsi"/>
          <w:sz w:val="22"/>
          <w:szCs w:val="22"/>
        </w:rPr>
        <w:t xml:space="preserve">Christine Hall, ed., </w:t>
      </w:r>
      <w:r w:rsidRPr="0069657D">
        <w:rPr>
          <w:rFonts w:asciiTheme="minorHAnsi" w:hAnsiTheme="minorHAnsi"/>
          <w:bCs/>
          <w:i/>
          <w:iCs/>
          <w:sz w:val="22"/>
          <w:szCs w:val="22"/>
        </w:rPr>
        <w:t>The Deacon’s Ministry</w:t>
      </w:r>
      <w:r w:rsidRPr="005C0C92">
        <w:rPr>
          <w:rFonts w:asciiTheme="minorHAnsi" w:hAnsiTheme="minorHAnsi"/>
          <w:sz w:val="22"/>
          <w:szCs w:val="22"/>
        </w:rPr>
        <w:t xml:space="preserve"> (Melksham: The Cromwell Press, 1992)</w:t>
      </w:r>
    </w:p>
    <w:p w:rsidR="005C0C92" w:rsidRPr="005C0C92" w:rsidRDefault="005C0C92" w:rsidP="005C2127">
      <w:pPr>
        <w:pStyle w:val="NormalWeb"/>
        <w:spacing w:line="480" w:lineRule="auto"/>
        <w:rPr>
          <w:rFonts w:asciiTheme="minorHAnsi" w:hAnsiTheme="minorHAnsi"/>
          <w:sz w:val="22"/>
          <w:szCs w:val="22"/>
        </w:rPr>
      </w:pPr>
      <w:r w:rsidRPr="005C0C92">
        <w:rPr>
          <w:rFonts w:asciiTheme="minorHAnsi" w:hAnsiTheme="minorHAnsi"/>
          <w:sz w:val="22"/>
          <w:szCs w:val="22"/>
        </w:rPr>
        <w:t>Rosalind Brown,</w:t>
      </w:r>
      <w:r w:rsidRPr="0069657D">
        <w:rPr>
          <w:rFonts w:asciiTheme="minorHAnsi" w:hAnsiTheme="minorHAnsi"/>
          <w:sz w:val="22"/>
          <w:szCs w:val="22"/>
        </w:rPr>
        <w:t xml:space="preserve"> </w:t>
      </w:r>
      <w:r w:rsidRPr="0069657D">
        <w:rPr>
          <w:rFonts w:asciiTheme="minorHAnsi" w:hAnsiTheme="minorHAnsi"/>
          <w:bCs/>
          <w:i/>
          <w:iCs/>
          <w:sz w:val="22"/>
          <w:szCs w:val="22"/>
        </w:rPr>
        <w:t>Being a Deacon Today: exploring a distinctive ministry in the church and in the world</w:t>
      </w:r>
      <w:r w:rsidRPr="0069657D">
        <w:rPr>
          <w:rFonts w:asciiTheme="minorHAnsi" w:hAnsiTheme="minorHAnsi"/>
          <w:color w:val="FF0000"/>
          <w:sz w:val="22"/>
          <w:szCs w:val="22"/>
        </w:rPr>
        <w:t xml:space="preserve"> </w:t>
      </w:r>
      <w:r w:rsidRPr="005C0C92">
        <w:rPr>
          <w:rFonts w:asciiTheme="minorHAnsi" w:hAnsiTheme="minorHAnsi"/>
          <w:sz w:val="22"/>
          <w:szCs w:val="22"/>
        </w:rPr>
        <w:t>(Canterbury Press, 2005)</w:t>
      </w:r>
    </w:p>
    <w:p w:rsidR="005C0C92" w:rsidRPr="005C0C92" w:rsidRDefault="005C0C92" w:rsidP="005C2127">
      <w:pPr>
        <w:pStyle w:val="NormalWeb"/>
        <w:spacing w:line="480" w:lineRule="auto"/>
        <w:rPr>
          <w:rFonts w:asciiTheme="minorHAnsi" w:hAnsiTheme="minorHAnsi"/>
          <w:sz w:val="22"/>
          <w:szCs w:val="22"/>
        </w:rPr>
      </w:pPr>
      <w:r w:rsidRPr="0069657D">
        <w:rPr>
          <w:rFonts w:asciiTheme="minorHAnsi" w:hAnsiTheme="minorHAnsi"/>
          <w:bCs/>
          <w:i/>
          <w:iCs/>
          <w:sz w:val="22"/>
          <w:szCs w:val="22"/>
        </w:rPr>
        <w:t>For Such a Time as This: a renewed diaconate in the Church of England,</w:t>
      </w:r>
      <w:r w:rsidRPr="005C0C92">
        <w:rPr>
          <w:rFonts w:asciiTheme="minorHAnsi" w:hAnsiTheme="minorHAnsi"/>
          <w:b/>
          <w:bCs/>
          <w:i/>
          <w:iCs/>
          <w:sz w:val="22"/>
          <w:szCs w:val="22"/>
        </w:rPr>
        <w:t xml:space="preserve"> </w:t>
      </w:r>
      <w:r w:rsidRPr="005C0C92">
        <w:rPr>
          <w:rFonts w:asciiTheme="minorHAnsi" w:hAnsiTheme="minorHAnsi"/>
          <w:i/>
          <w:iCs/>
          <w:sz w:val="22"/>
          <w:szCs w:val="22"/>
        </w:rPr>
        <w:t>GS 1407</w:t>
      </w:r>
      <w:r w:rsidRPr="005C0C92">
        <w:rPr>
          <w:rFonts w:asciiTheme="minorHAnsi" w:hAnsiTheme="minorHAnsi"/>
          <w:sz w:val="22"/>
          <w:szCs w:val="22"/>
        </w:rPr>
        <w:t xml:space="preserve"> (CHP 2001) – report to General Synod of a House of Bishops working party (see also </w:t>
      </w:r>
      <w:r w:rsidRPr="0069657D">
        <w:rPr>
          <w:rFonts w:asciiTheme="minorHAnsi" w:hAnsiTheme="minorHAnsi"/>
          <w:bCs/>
          <w:i/>
          <w:iCs/>
          <w:sz w:val="22"/>
          <w:szCs w:val="22"/>
        </w:rPr>
        <w:t>Deacons in the Ministry of the Church</w:t>
      </w:r>
      <w:r w:rsidRPr="0069657D">
        <w:rPr>
          <w:rFonts w:asciiTheme="minorHAnsi" w:hAnsiTheme="minorHAnsi"/>
          <w:sz w:val="22"/>
          <w:szCs w:val="22"/>
        </w:rPr>
        <w:t>,</w:t>
      </w:r>
      <w:r w:rsidRPr="005C0C92">
        <w:rPr>
          <w:rFonts w:asciiTheme="minorHAnsi" w:hAnsiTheme="minorHAnsi"/>
          <w:sz w:val="22"/>
          <w:szCs w:val="22"/>
        </w:rPr>
        <w:t xml:space="preserve"> </w:t>
      </w:r>
      <w:r w:rsidRPr="005C0C92">
        <w:rPr>
          <w:rFonts w:asciiTheme="minorHAnsi" w:hAnsiTheme="minorHAnsi"/>
          <w:i/>
          <w:iCs/>
          <w:sz w:val="22"/>
          <w:szCs w:val="22"/>
        </w:rPr>
        <w:t>GS 802,</w:t>
      </w:r>
      <w:r w:rsidRPr="005C0C92">
        <w:rPr>
          <w:rFonts w:asciiTheme="minorHAnsi" w:hAnsiTheme="minorHAnsi"/>
          <w:sz w:val="22"/>
          <w:szCs w:val="22"/>
        </w:rPr>
        <w:t xml:space="preserve"> 1988)</w:t>
      </w:r>
    </w:p>
    <w:p w:rsidR="005C0C92" w:rsidRDefault="005C0C92" w:rsidP="005C2127">
      <w:pPr>
        <w:pStyle w:val="NormalWeb"/>
        <w:spacing w:line="480" w:lineRule="auto"/>
        <w:rPr>
          <w:rFonts w:asciiTheme="minorHAnsi" w:hAnsiTheme="minorHAnsi"/>
          <w:sz w:val="22"/>
          <w:szCs w:val="22"/>
        </w:rPr>
      </w:pPr>
      <w:r w:rsidRPr="005C0C92">
        <w:rPr>
          <w:rFonts w:asciiTheme="minorHAnsi" w:hAnsiTheme="minorHAnsi"/>
          <w:sz w:val="22"/>
          <w:szCs w:val="22"/>
        </w:rPr>
        <w:t xml:space="preserve">World Council of Churches, </w:t>
      </w:r>
      <w:r w:rsidRPr="0069657D">
        <w:rPr>
          <w:rFonts w:asciiTheme="minorHAnsi" w:hAnsiTheme="minorHAnsi"/>
          <w:bCs/>
          <w:i/>
          <w:iCs/>
          <w:sz w:val="22"/>
          <w:szCs w:val="22"/>
        </w:rPr>
        <w:t>The Ministry of Deacons</w:t>
      </w:r>
      <w:r w:rsidRPr="005C0C92">
        <w:rPr>
          <w:rFonts w:asciiTheme="minorHAnsi" w:hAnsiTheme="minorHAnsi"/>
          <w:sz w:val="22"/>
          <w:szCs w:val="22"/>
        </w:rPr>
        <w:t xml:space="preserve"> (Geneva: WCC, 1965)</w:t>
      </w:r>
    </w:p>
    <w:p w:rsidR="00950B37" w:rsidRDefault="005C0C92" w:rsidP="005C2127">
      <w:pPr>
        <w:pStyle w:val="NormalWeb"/>
        <w:spacing w:line="480" w:lineRule="auto"/>
        <w:rPr>
          <w:rFonts w:asciiTheme="minorHAnsi" w:hAnsiTheme="minorHAnsi"/>
          <w:sz w:val="22"/>
          <w:szCs w:val="22"/>
        </w:rPr>
      </w:pPr>
      <w:r>
        <w:rPr>
          <w:rFonts w:asciiTheme="minorHAnsi" w:hAnsiTheme="minorHAnsi"/>
          <w:sz w:val="22"/>
          <w:szCs w:val="22"/>
        </w:rPr>
        <w:t>I have also included the Ordinal for Deacons in this taxonomy as it is a text with which most ordinands and Anglican clergy will be familiar.</w:t>
      </w:r>
      <w:r w:rsidR="004C4F4E">
        <w:rPr>
          <w:rFonts w:asciiTheme="minorHAnsi" w:hAnsiTheme="minorHAnsi"/>
          <w:sz w:val="22"/>
          <w:szCs w:val="22"/>
        </w:rPr>
        <w:t xml:space="preserve"> By taking this list and the ordinal I expect to include most of the literature that those entering ordained ministry will encounter. It is clear that some will not enco</w:t>
      </w:r>
      <w:r w:rsidR="00E94B6F">
        <w:rPr>
          <w:rFonts w:asciiTheme="minorHAnsi" w:hAnsiTheme="minorHAnsi"/>
          <w:sz w:val="22"/>
          <w:szCs w:val="22"/>
        </w:rPr>
        <w:t xml:space="preserve">unter this body of </w:t>
      </w:r>
      <w:r w:rsidR="00641585">
        <w:rPr>
          <w:rFonts w:asciiTheme="minorHAnsi" w:hAnsiTheme="minorHAnsi"/>
          <w:sz w:val="22"/>
          <w:szCs w:val="22"/>
        </w:rPr>
        <w:t>literature and</w:t>
      </w:r>
      <w:r w:rsidR="00E94B6F">
        <w:rPr>
          <w:rFonts w:asciiTheme="minorHAnsi" w:hAnsiTheme="minorHAnsi"/>
          <w:sz w:val="22"/>
          <w:szCs w:val="22"/>
        </w:rPr>
        <w:t xml:space="preserve"> </w:t>
      </w:r>
      <w:r w:rsidR="004C4F4E">
        <w:rPr>
          <w:rFonts w:asciiTheme="minorHAnsi" w:hAnsiTheme="minorHAnsi"/>
          <w:sz w:val="22"/>
          <w:szCs w:val="22"/>
        </w:rPr>
        <w:t xml:space="preserve">others may develop an interest in the subject and read more broadly. </w:t>
      </w:r>
      <w:r w:rsidR="00641585">
        <w:rPr>
          <w:rFonts w:asciiTheme="minorHAnsi" w:hAnsiTheme="minorHAnsi"/>
          <w:sz w:val="22"/>
          <w:szCs w:val="22"/>
        </w:rPr>
        <w:t>T</w:t>
      </w:r>
      <w:r w:rsidR="004C4F4E">
        <w:rPr>
          <w:rFonts w:asciiTheme="minorHAnsi" w:hAnsiTheme="minorHAnsi"/>
          <w:sz w:val="22"/>
          <w:szCs w:val="22"/>
        </w:rPr>
        <w:t>his list is quite dated and misses important develop</w:t>
      </w:r>
      <w:r w:rsidR="0069657D">
        <w:rPr>
          <w:rFonts w:asciiTheme="minorHAnsi" w:hAnsiTheme="minorHAnsi"/>
          <w:sz w:val="22"/>
          <w:szCs w:val="22"/>
        </w:rPr>
        <w:t>ments</w:t>
      </w:r>
      <w:r w:rsidR="004C4F4E">
        <w:rPr>
          <w:rFonts w:asciiTheme="minorHAnsi" w:hAnsiTheme="minorHAnsi"/>
          <w:sz w:val="22"/>
          <w:szCs w:val="22"/>
        </w:rPr>
        <w:t xml:space="preserve"> in thinking about ministry encapsulated by the later General Synod document</w:t>
      </w:r>
      <w:r w:rsidR="004C4F4E" w:rsidRPr="004C4F4E">
        <w:rPr>
          <w:rFonts w:asciiTheme="minorHAnsi" w:hAnsiTheme="minorHAnsi"/>
          <w:i/>
          <w:sz w:val="22"/>
          <w:szCs w:val="22"/>
        </w:rPr>
        <w:t>, The Mission and Ministry of the Whole Church</w:t>
      </w:r>
      <w:r w:rsidR="004C4F4E">
        <w:rPr>
          <w:rFonts w:asciiTheme="minorHAnsi" w:hAnsiTheme="minorHAnsi"/>
          <w:i/>
          <w:sz w:val="22"/>
          <w:szCs w:val="22"/>
        </w:rPr>
        <w:t xml:space="preserve"> </w:t>
      </w:r>
      <w:r w:rsidR="004C4F4E">
        <w:rPr>
          <w:rFonts w:asciiTheme="minorHAnsi" w:hAnsiTheme="minorHAnsi"/>
          <w:sz w:val="22"/>
          <w:szCs w:val="22"/>
        </w:rPr>
        <w:t xml:space="preserve">which was considered by </w:t>
      </w:r>
      <w:r w:rsidR="0069657D">
        <w:rPr>
          <w:rFonts w:asciiTheme="minorHAnsi" w:hAnsiTheme="minorHAnsi"/>
          <w:sz w:val="22"/>
          <w:szCs w:val="22"/>
        </w:rPr>
        <w:t>S</w:t>
      </w:r>
      <w:r w:rsidR="004C4F4E">
        <w:rPr>
          <w:rFonts w:asciiTheme="minorHAnsi" w:hAnsiTheme="minorHAnsi"/>
          <w:sz w:val="22"/>
          <w:szCs w:val="22"/>
        </w:rPr>
        <w:t>ynod in 2007</w:t>
      </w:r>
      <w:r w:rsidR="004C4F4E" w:rsidRPr="004C4F4E">
        <w:rPr>
          <w:rFonts w:asciiTheme="minorHAnsi" w:hAnsiTheme="minorHAnsi"/>
          <w:i/>
          <w:sz w:val="22"/>
          <w:szCs w:val="22"/>
        </w:rPr>
        <w:t>.</w:t>
      </w:r>
      <w:r w:rsidR="004C4F4E">
        <w:rPr>
          <w:rFonts w:asciiTheme="minorHAnsi" w:hAnsiTheme="minorHAnsi"/>
          <w:sz w:val="22"/>
          <w:szCs w:val="22"/>
        </w:rPr>
        <w:t xml:space="preserve"> The recommendations of this report were not accepted by </w:t>
      </w:r>
      <w:r w:rsidR="0069657D">
        <w:rPr>
          <w:rFonts w:asciiTheme="minorHAnsi" w:hAnsiTheme="minorHAnsi"/>
          <w:sz w:val="22"/>
          <w:szCs w:val="22"/>
        </w:rPr>
        <w:t>S</w:t>
      </w:r>
      <w:r w:rsidR="004C4F4E">
        <w:rPr>
          <w:rFonts w:asciiTheme="minorHAnsi" w:hAnsiTheme="minorHAnsi"/>
          <w:sz w:val="22"/>
          <w:szCs w:val="22"/>
        </w:rPr>
        <w:t>ynod and it seems that the Church of England as</w:t>
      </w:r>
      <w:r w:rsidR="00205BD6">
        <w:rPr>
          <w:rFonts w:asciiTheme="minorHAnsi" w:hAnsiTheme="minorHAnsi"/>
          <w:sz w:val="22"/>
          <w:szCs w:val="22"/>
        </w:rPr>
        <w:t xml:space="preserve"> a</w:t>
      </w:r>
      <w:r w:rsidR="004C4F4E">
        <w:rPr>
          <w:rFonts w:asciiTheme="minorHAnsi" w:hAnsiTheme="minorHAnsi"/>
          <w:sz w:val="22"/>
          <w:szCs w:val="22"/>
        </w:rPr>
        <w:t xml:space="preserve"> whole has given little thought to the role of the diaconate since then</w:t>
      </w:r>
      <w:r w:rsidR="0069657D">
        <w:rPr>
          <w:rFonts w:asciiTheme="minorHAnsi" w:hAnsiTheme="minorHAnsi"/>
          <w:sz w:val="22"/>
          <w:szCs w:val="22"/>
        </w:rPr>
        <w:t>.</w:t>
      </w:r>
    </w:p>
    <w:p w:rsidR="00EC23BF" w:rsidRDefault="00D966D0" w:rsidP="005C2127">
      <w:pPr>
        <w:spacing w:line="480" w:lineRule="auto"/>
      </w:pPr>
      <w:r>
        <w:t>In order to broaden the conversation and include more contemporary voices I have complete</w:t>
      </w:r>
      <w:r w:rsidR="0069657D">
        <w:t>d</w:t>
      </w:r>
      <w:r>
        <w:t xml:space="preserve"> an additional taxonomy</w:t>
      </w:r>
      <w:r w:rsidR="00E94B6F">
        <w:t xml:space="preserve">, Appendix 2, </w:t>
      </w:r>
      <w:r w:rsidR="00641585">
        <w:t>w</w:t>
      </w:r>
      <w:r>
        <w:t>hich includes</w:t>
      </w:r>
      <w:r w:rsidR="005C0C92">
        <w:t xml:space="preserve"> a</w:t>
      </w:r>
      <w:r>
        <w:t xml:space="preserve"> number of theologians from Anglican, Methodist and Catholic traditions. </w:t>
      </w:r>
      <w:r w:rsidR="00205BD6">
        <w:t>D</w:t>
      </w:r>
      <w:r>
        <w:t>espite the difference in tradition there is very little difference in the descriptors used in these writings. There are clearly different emphases among the writers.  E</w:t>
      </w:r>
      <w:r w:rsidR="005C0C92">
        <w:t>.</w:t>
      </w:r>
      <w:r>
        <w:t>g</w:t>
      </w:r>
      <w:r w:rsidR="005C0C92">
        <w:t>.</w:t>
      </w:r>
      <w:r>
        <w:t xml:space="preserve"> </w:t>
      </w:r>
      <w:r w:rsidRPr="0069657D">
        <w:rPr>
          <w:i/>
        </w:rPr>
        <w:t>Making Connections</w:t>
      </w:r>
      <w:r>
        <w:t xml:space="preserve"> by Orton and Stockdale is a book based on interviews with deacons in the last few years and highlights the work deacons </w:t>
      </w:r>
      <w:r w:rsidR="0069657D">
        <w:t>d</w:t>
      </w:r>
      <w:r>
        <w:t>o weaving groups together, both inside and outside the church. Clark’s emphasis</w:t>
      </w:r>
      <w:r w:rsidR="0069657D">
        <w:t xml:space="preserve"> throughout his writings</w:t>
      </w:r>
      <w:r>
        <w:t xml:space="preserve"> is clearly on the role of deacons as enablers of laity within a post-Christendom </w:t>
      </w:r>
      <w:r w:rsidR="00641585">
        <w:t>C</w:t>
      </w:r>
      <w:r>
        <w:t>hurch .</w:t>
      </w:r>
    </w:p>
    <w:p w:rsidR="00D966D0" w:rsidRDefault="00D966D0" w:rsidP="005C2127">
      <w:pPr>
        <w:spacing w:line="480" w:lineRule="auto"/>
      </w:pPr>
      <w:r>
        <w:t xml:space="preserve">Anglican theologians Paul Avis and Paula Gooder have influenced current thinking in the Church of England and were contributors </w:t>
      </w:r>
      <w:r w:rsidR="00205BD6">
        <w:t xml:space="preserve">to </w:t>
      </w:r>
      <w:r>
        <w:t xml:space="preserve">the most recent report which considered diaconal ministry </w:t>
      </w:r>
      <w:r w:rsidRPr="00D966D0">
        <w:rPr>
          <w:i/>
        </w:rPr>
        <w:t>The Mission and Ministry of the Whole Church</w:t>
      </w:r>
      <w:r>
        <w:t xml:space="preserve">, which was published in 2007. While Steve Croft did not contribute to this report, his thinking on </w:t>
      </w:r>
      <w:r w:rsidRPr="00D966D0">
        <w:rPr>
          <w:i/>
        </w:rPr>
        <w:t>Fresh Expressions</w:t>
      </w:r>
      <w:r>
        <w:t xml:space="preserve"> and his writings on </w:t>
      </w:r>
      <w:r w:rsidRPr="00D966D0">
        <w:rPr>
          <w:i/>
        </w:rPr>
        <w:t>Ministry in Three Dimensions</w:t>
      </w:r>
      <w:r>
        <w:t xml:space="preserve"> ha</w:t>
      </w:r>
      <w:r w:rsidR="0069657D">
        <w:t>s</w:t>
      </w:r>
      <w:r>
        <w:t xml:space="preserve"> had a significant influence within the Church of England in recent years.  This book is widely read by ordinands and brings the perspective of diaconate as the servant foundation of other ministries rather than a distinctive ministry in its own right.</w:t>
      </w:r>
    </w:p>
    <w:p w:rsidR="00D966D0" w:rsidRDefault="00D966D0" w:rsidP="005C2127">
      <w:pPr>
        <w:spacing w:line="480" w:lineRule="auto"/>
      </w:pPr>
      <w:r>
        <w:t xml:space="preserve">John Collins has also been included in this taxonomy as his writing and thinking undergirds much recent perspective and he brings a catholic understanding to the ecclesial questions surrounding the diaconate. </w:t>
      </w:r>
    </w:p>
    <w:p w:rsidR="00DD7F93" w:rsidRPr="00205BD6" w:rsidRDefault="00DD7F93" w:rsidP="005C2127">
      <w:pPr>
        <w:pStyle w:val="Heading3"/>
        <w:spacing w:line="480" w:lineRule="auto"/>
        <w:rPr>
          <w:b w:val="0"/>
        </w:rPr>
      </w:pPr>
      <w:bookmarkStart w:id="9" w:name="_Toc428110551"/>
      <w:r w:rsidRPr="00205BD6">
        <w:rPr>
          <w:b w:val="0"/>
        </w:rPr>
        <w:t>Conclusions</w:t>
      </w:r>
      <w:bookmarkEnd w:id="9"/>
      <w:r w:rsidR="00072A20">
        <w:rPr>
          <w:b w:val="0"/>
        </w:rPr>
        <w:br/>
      </w:r>
    </w:p>
    <w:p w:rsidR="00DD7F93" w:rsidRDefault="00950B37" w:rsidP="005C2127">
      <w:pPr>
        <w:spacing w:line="480" w:lineRule="auto"/>
      </w:pPr>
      <w:r>
        <w:t>These taxonomies reveal</w:t>
      </w:r>
      <w:r w:rsidR="00DD7F93">
        <w:t xml:space="preserve"> </w:t>
      </w:r>
      <w:r w:rsidR="0022302B">
        <w:t xml:space="preserve">some </w:t>
      </w:r>
      <w:r w:rsidR="00DD7F93">
        <w:t xml:space="preserve">30 different descriptors yet the roles are in no way distinct. In many cases they overlap with each other and I have tried to highlight that by the positioning of descriptions in the grid. They also, of course, overlap with other ministries, both lay and ordained. It may therefore, not be </w:t>
      </w:r>
      <w:r w:rsidR="0069657D">
        <w:t>possbile</w:t>
      </w:r>
      <w:r w:rsidR="00DD7F93">
        <w:t xml:space="preserve"> to talk about an entirely ‘distinctive’ role for a deacon but may be more helpful to see the emphasis and trends revealed in this review of recent literature.</w:t>
      </w:r>
    </w:p>
    <w:p w:rsidR="00DD7F93" w:rsidRDefault="00DD7F93" w:rsidP="005C2127">
      <w:pPr>
        <w:spacing w:line="480" w:lineRule="auto"/>
      </w:pPr>
      <w:r>
        <w:t xml:space="preserve">One group of descriptors seems to indicate the </w:t>
      </w:r>
      <w:r w:rsidRPr="00DD7F93">
        <w:rPr>
          <w:b/>
        </w:rPr>
        <w:t>primary outcome</w:t>
      </w:r>
      <w:r>
        <w:rPr>
          <w:b/>
        </w:rPr>
        <w:t>s</w:t>
      </w:r>
      <w:r>
        <w:t xml:space="preserve"> of the </w:t>
      </w:r>
      <w:r w:rsidR="0069642B">
        <w:t>d</w:t>
      </w:r>
      <w:r>
        <w:t>iaconal ministry – these include: making connections; forming relationships; straddling boundaries;</w:t>
      </w:r>
      <w:r w:rsidR="00020ECF">
        <w:t xml:space="preserve"> enabling others</w:t>
      </w:r>
      <w:r>
        <w:t>; mediating and reconciling. These outcomes arise from the Deacon’s location between the Church and the World, inhabiting both fully and aiming to build bridges and lower the threshold between the two spheres.</w:t>
      </w:r>
    </w:p>
    <w:p w:rsidR="00DD7F93" w:rsidRDefault="00DD7F93" w:rsidP="005C2127">
      <w:pPr>
        <w:spacing w:line="480" w:lineRule="auto"/>
      </w:pPr>
      <w:r>
        <w:t xml:space="preserve">Another group of overlapping descriptors seem to indicate the </w:t>
      </w:r>
      <w:r w:rsidRPr="00DD7F93">
        <w:rPr>
          <w:b/>
        </w:rPr>
        <w:t>primary roles</w:t>
      </w:r>
      <w:r>
        <w:t xml:space="preserve"> of the deacon – these include: messenger, proclaimer, missionary, spokesperson, go-between, agent, </w:t>
      </w:r>
      <w:r w:rsidR="009554E8">
        <w:t xml:space="preserve">interpreter, herald, </w:t>
      </w:r>
      <w:r>
        <w:t xml:space="preserve">missionary, prophet, </w:t>
      </w:r>
      <w:r w:rsidR="00020ECF">
        <w:t>pione</w:t>
      </w:r>
      <w:r w:rsidR="00A16255">
        <w:t>er and</w:t>
      </w:r>
      <w:r w:rsidR="00020ECF">
        <w:t xml:space="preserve"> </w:t>
      </w:r>
      <w:r w:rsidR="0069642B">
        <w:t xml:space="preserve">envoy. </w:t>
      </w:r>
      <w:r w:rsidR="009B7A5D">
        <w:t>It is important to remember too the servant/retainer ministry of the deacon within this context.</w:t>
      </w:r>
    </w:p>
    <w:p w:rsidR="00DD7F93" w:rsidRDefault="00DD7F93" w:rsidP="005C2127">
      <w:pPr>
        <w:spacing w:line="480" w:lineRule="auto"/>
      </w:pPr>
      <w:r>
        <w:t xml:space="preserve">Underpinning both the role and the outcomes is the </w:t>
      </w:r>
      <w:r w:rsidRPr="00DD7F93">
        <w:rPr>
          <w:b/>
        </w:rPr>
        <w:t>primary nature</w:t>
      </w:r>
      <w:r>
        <w:t xml:space="preserve"> of the deacon – a commissioned minister of the Church, an ecclesial sign of the Church</w:t>
      </w:r>
      <w:r w:rsidR="009B7A5D">
        <w:t xml:space="preserve"> </w:t>
      </w:r>
      <w:r w:rsidR="009554E8">
        <w:t xml:space="preserve">and to the Church </w:t>
      </w:r>
      <w:r w:rsidR="009B7A5D">
        <w:t xml:space="preserve">and a representative. The nature of the deacon as an ordained minister </w:t>
      </w:r>
      <w:r w:rsidR="0022302B">
        <w:t xml:space="preserve">with a range of functions that </w:t>
      </w:r>
      <w:r w:rsidR="009B7A5D">
        <w:t>speak of the Church’s orientation towards the world is expressed in the role of the deacon in the liturgy and most particularly at the Eucharist.</w:t>
      </w:r>
      <w:r w:rsidR="00A16255">
        <w:t xml:space="preserve"> Within the understanding of the deacon as ordained minister come the descriptors Minister of the Eucharist, Minister of the Word, one who prays and animator of faith.</w:t>
      </w:r>
    </w:p>
    <w:p w:rsidR="009412FF" w:rsidRDefault="009412FF" w:rsidP="005C2127">
      <w:pPr>
        <w:spacing w:line="480" w:lineRule="auto"/>
      </w:pPr>
      <w:r w:rsidRPr="009412FF">
        <w:rPr>
          <w:i/>
        </w:rPr>
        <w:t>Generous Love</w:t>
      </w:r>
      <w:r>
        <w:rPr>
          <w:i/>
        </w:rPr>
        <w:t xml:space="preserve">: the truth of the Gospel and the call to dialogue, </w:t>
      </w:r>
      <w:r>
        <w:t>describes itself as ‘An Anglican theology of inter-faith relations.  It was a report of the Anglican Communion’s Network for Interfaith Concerns and was published in 2008.</w:t>
      </w:r>
    </w:p>
    <w:p w:rsidR="0069657D" w:rsidRDefault="009412FF" w:rsidP="005C2127">
      <w:pPr>
        <w:spacing w:line="480" w:lineRule="auto"/>
      </w:pPr>
      <w:r>
        <w:t>The report recognises three dynamic patterns for renewed discipleship among other faith communities which fit well with the three dimensions of diaconal ministry suggested by the taxonomies of descriptors.</w:t>
      </w:r>
    </w:p>
    <w:p w:rsidR="0069657D" w:rsidRDefault="0069657D">
      <w:r>
        <w:br w:type="page"/>
      </w:r>
    </w:p>
    <w:p w:rsidR="009412FF" w:rsidRDefault="009412FF" w:rsidP="005C2127">
      <w:pPr>
        <w:spacing w:line="480" w:lineRule="auto"/>
      </w:pPr>
    </w:p>
    <w:p w:rsidR="009412FF" w:rsidRDefault="009412FF" w:rsidP="005C2127">
      <w:pPr>
        <w:spacing w:line="480" w:lineRule="auto"/>
      </w:pPr>
      <w:r>
        <w:t>These are:</w:t>
      </w:r>
    </w:p>
    <w:p w:rsidR="009412FF" w:rsidRDefault="009412FF" w:rsidP="005C2127">
      <w:pPr>
        <w:pStyle w:val="ListParagraph"/>
        <w:numPr>
          <w:ilvl w:val="0"/>
          <w:numId w:val="6"/>
        </w:numPr>
        <w:spacing w:line="480" w:lineRule="auto"/>
      </w:pPr>
      <w:r>
        <w:t xml:space="preserve">Maintaining our presence among communities of other faiths, abiding as signs of the body of Christ in each place – this to me seems to overlap with the </w:t>
      </w:r>
      <w:r w:rsidRPr="009412FF">
        <w:rPr>
          <w:b/>
        </w:rPr>
        <w:t>primary nature</w:t>
      </w:r>
      <w:r w:rsidR="00625D29">
        <w:t xml:space="preserve"> of t</w:t>
      </w:r>
      <w:r>
        <w:t>he deacon as a representative of the</w:t>
      </w:r>
      <w:r w:rsidR="00625D29">
        <w:t xml:space="preserve"> church and an ecclesial sign.</w:t>
      </w:r>
    </w:p>
    <w:p w:rsidR="009412FF" w:rsidRDefault="009412FF" w:rsidP="005C2127">
      <w:pPr>
        <w:pStyle w:val="ListParagraph"/>
        <w:numPr>
          <w:ilvl w:val="0"/>
          <w:numId w:val="6"/>
        </w:numPr>
        <w:spacing w:line="480" w:lineRule="auto"/>
      </w:pPr>
      <w:r>
        <w:t>Engaging our energies with other groups for the transformation of society, we are being sen</w:t>
      </w:r>
      <w:r w:rsidR="0069657D">
        <w:t>t</w:t>
      </w:r>
      <w:r>
        <w:t xml:space="preserve"> in the power of the spirit into each situation – this suggests the </w:t>
      </w:r>
      <w:r w:rsidRPr="003A1DA9">
        <w:rPr>
          <w:b/>
        </w:rPr>
        <w:t>p</w:t>
      </w:r>
      <w:r w:rsidR="003A1DA9" w:rsidRPr="003A1DA9">
        <w:rPr>
          <w:b/>
        </w:rPr>
        <w:t>rimary</w:t>
      </w:r>
      <w:r>
        <w:t xml:space="preserve"> </w:t>
      </w:r>
      <w:r w:rsidRPr="008C5EEB">
        <w:rPr>
          <w:b/>
        </w:rPr>
        <w:t>role</w:t>
      </w:r>
      <w:r>
        <w:t xml:space="preserve"> of the deacon as one who acts as a go-between, herald and envoy enacting a life of service i</w:t>
      </w:r>
      <w:r w:rsidR="003A1DA9">
        <w:t>n</w:t>
      </w:r>
      <w:r>
        <w:t xml:space="preserve"> both pract</w:t>
      </w:r>
      <w:r w:rsidR="008C5EEB">
        <w:t>ical ways and through challenge, working for the good of those who are marginalised, oppressed or facing injustice</w:t>
      </w:r>
    </w:p>
    <w:p w:rsidR="008C5EEB" w:rsidRPr="009412FF" w:rsidRDefault="008C5EEB" w:rsidP="005C2127">
      <w:pPr>
        <w:pStyle w:val="ListParagraph"/>
        <w:numPr>
          <w:ilvl w:val="0"/>
          <w:numId w:val="6"/>
        </w:numPr>
        <w:spacing w:line="480" w:lineRule="auto"/>
      </w:pPr>
      <w:r>
        <w:t xml:space="preserve">Offering embassy and hospitality to our neighbours, we are both giving and receiving the blessing of God our Father – this encapsulates the </w:t>
      </w:r>
      <w:r w:rsidRPr="008C5EEB">
        <w:rPr>
          <w:b/>
        </w:rPr>
        <w:t>outcome</w:t>
      </w:r>
      <w:r>
        <w:t>s of diaconal ministry. As connections are made and relationships are formed, embassy and hospitality become not only possible but integral to the work of a deacon.</w:t>
      </w:r>
      <w:r>
        <w:rPr>
          <w:rStyle w:val="FootnoteReference"/>
        </w:rPr>
        <w:footnoteReference w:id="30"/>
      </w:r>
    </w:p>
    <w:p w:rsidR="008C5EEB" w:rsidRDefault="008C5EEB" w:rsidP="005C2127">
      <w:pPr>
        <w:spacing w:line="480" w:lineRule="auto"/>
      </w:pPr>
    </w:p>
    <w:p w:rsidR="008C5EEB" w:rsidRDefault="008C5EEB" w:rsidP="005C2127">
      <w:pPr>
        <w:spacing w:line="480" w:lineRule="auto"/>
      </w:pPr>
      <w:r>
        <w:t>This Trinitarian theology of inter faith engagement underpins the report but also offers a Trinitarian understanding for the three dimensions of diaconal ministry. However it is important to note that this report is talking about the patterns of the whole church not of just a few specialised ministers within the institution.</w:t>
      </w:r>
    </w:p>
    <w:p w:rsidR="00E94B6F" w:rsidRDefault="00E94B6F" w:rsidP="005C2127">
      <w:pPr>
        <w:pStyle w:val="NormalWeb"/>
        <w:spacing w:line="480" w:lineRule="auto"/>
        <w:rPr>
          <w:rFonts w:asciiTheme="minorHAnsi" w:hAnsiTheme="minorHAnsi"/>
          <w:sz w:val="22"/>
          <w:szCs w:val="22"/>
        </w:rPr>
      </w:pPr>
      <w:r>
        <w:rPr>
          <w:rFonts w:asciiTheme="minorHAnsi" w:hAnsiTheme="minorHAnsi"/>
          <w:sz w:val="22"/>
          <w:szCs w:val="22"/>
        </w:rPr>
        <w:t xml:space="preserve">In an attempt to continue the flagging conversation around diakonia in the Church of England, the Bishop in Europe, the Rt Revd Geoffrey Rowell edited an edition of the </w:t>
      </w:r>
      <w:r w:rsidRPr="0049017B">
        <w:rPr>
          <w:rFonts w:asciiTheme="minorHAnsi" w:hAnsiTheme="minorHAnsi"/>
          <w:i/>
          <w:sz w:val="22"/>
          <w:szCs w:val="22"/>
        </w:rPr>
        <w:t>International Journal for the Study of the Christian Church</w:t>
      </w:r>
      <w:r>
        <w:rPr>
          <w:rFonts w:asciiTheme="minorHAnsi" w:hAnsiTheme="minorHAnsi"/>
          <w:sz w:val="22"/>
          <w:szCs w:val="22"/>
        </w:rPr>
        <w:t xml:space="preserve"> focussing on </w:t>
      </w:r>
      <w:r w:rsidRPr="0049017B">
        <w:rPr>
          <w:rFonts w:asciiTheme="minorHAnsi" w:hAnsiTheme="minorHAnsi"/>
          <w:i/>
          <w:sz w:val="22"/>
          <w:szCs w:val="22"/>
        </w:rPr>
        <w:t xml:space="preserve">The Ministry of the Deacon in times of Ecumenical </w:t>
      </w:r>
      <w:r w:rsidRPr="00E94B6F">
        <w:rPr>
          <w:rFonts w:asciiTheme="minorHAnsi" w:hAnsiTheme="minorHAnsi"/>
          <w:i/>
          <w:sz w:val="22"/>
          <w:szCs w:val="22"/>
        </w:rPr>
        <w:t>Reconfiguration</w:t>
      </w:r>
      <w:r w:rsidRPr="00E94B6F">
        <w:rPr>
          <w:rFonts w:asciiTheme="minorHAnsi" w:hAnsiTheme="minorHAnsi"/>
          <w:sz w:val="22"/>
          <w:szCs w:val="22"/>
        </w:rPr>
        <w:t xml:space="preserve"> in 2013 </w:t>
      </w:r>
      <w:r>
        <w:rPr>
          <w:rFonts w:asciiTheme="minorHAnsi" w:hAnsiTheme="minorHAnsi"/>
          <w:sz w:val="22"/>
          <w:szCs w:val="22"/>
        </w:rPr>
        <w:t>which was sent to all Bishops in the Church of England.</w:t>
      </w:r>
    </w:p>
    <w:p w:rsidR="00E94B6F" w:rsidRDefault="00E94B6F" w:rsidP="005C2127">
      <w:pPr>
        <w:pStyle w:val="NormalWeb"/>
        <w:spacing w:line="480" w:lineRule="auto"/>
        <w:rPr>
          <w:rFonts w:asciiTheme="minorHAnsi" w:hAnsiTheme="minorHAnsi"/>
          <w:sz w:val="22"/>
          <w:szCs w:val="22"/>
        </w:rPr>
      </w:pPr>
      <w:r>
        <w:rPr>
          <w:rFonts w:asciiTheme="minorHAnsi" w:hAnsiTheme="minorHAnsi"/>
          <w:sz w:val="22"/>
          <w:szCs w:val="22"/>
        </w:rPr>
        <w:t xml:space="preserve">Most of the focus of the journal is on the ecclesiological understandings surrounding the diaconate rather than on the role of deacons themselves. However it does highlight the idea embraced by the Vancouver assembly of the World Council of Churches in 1983 that </w:t>
      </w:r>
      <w:r w:rsidRPr="001B7AAA">
        <w:rPr>
          <w:rFonts w:asciiTheme="minorHAnsi" w:hAnsiTheme="minorHAnsi"/>
          <w:i/>
          <w:sz w:val="22"/>
          <w:szCs w:val="22"/>
        </w:rPr>
        <w:t>diakonia</w:t>
      </w:r>
      <w:r>
        <w:rPr>
          <w:rFonts w:asciiTheme="minorHAnsi" w:hAnsiTheme="minorHAnsi"/>
          <w:sz w:val="22"/>
          <w:szCs w:val="22"/>
        </w:rPr>
        <w:t xml:space="preserve"> is the </w:t>
      </w:r>
      <w:r w:rsidR="0069642B">
        <w:rPr>
          <w:rFonts w:asciiTheme="minorHAnsi" w:hAnsiTheme="minorHAnsi"/>
          <w:sz w:val="22"/>
          <w:szCs w:val="22"/>
        </w:rPr>
        <w:t>continuation of liturgy outside of the Church sphere.</w:t>
      </w:r>
    </w:p>
    <w:p w:rsidR="00E94B6F" w:rsidRDefault="00E94B6F" w:rsidP="0069657D">
      <w:pPr>
        <w:pStyle w:val="NormalWeb"/>
        <w:spacing w:line="480" w:lineRule="auto"/>
        <w:ind w:left="720"/>
        <w:rPr>
          <w:rFonts w:asciiTheme="minorHAnsi" w:hAnsiTheme="minorHAnsi"/>
          <w:i/>
          <w:sz w:val="22"/>
          <w:szCs w:val="22"/>
        </w:rPr>
      </w:pPr>
      <w:r>
        <w:rPr>
          <w:rFonts w:asciiTheme="minorHAnsi" w:hAnsiTheme="minorHAnsi"/>
          <w:sz w:val="22"/>
          <w:szCs w:val="22"/>
        </w:rPr>
        <w:t xml:space="preserve">“The ‘liturgy after the liturgy’ is </w:t>
      </w:r>
      <w:r w:rsidRPr="001B7AAA">
        <w:rPr>
          <w:rFonts w:asciiTheme="minorHAnsi" w:hAnsiTheme="minorHAnsi"/>
          <w:i/>
          <w:sz w:val="22"/>
          <w:szCs w:val="22"/>
        </w:rPr>
        <w:t>diakonia</w:t>
      </w:r>
      <w:r>
        <w:rPr>
          <w:rFonts w:asciiTheme="minorHAnsi" w:hAnsiTheme="minorHAnsi"/>
          <w:i/>
          <w:sz w:val="22"/>
          <w:szCs w:val="22"/>
        </w:rPr>
        <w:t xml:space="preserve">. Diakonia, </w:t>
      </w:r>
      <w:r>
        <w:rPr>
          <w:rFonts w:asciiTheme="minorHAnsi" w:hAnsiTheme="minorHAnsi"/>
          <w:sz w:val="22"/>
          <w:szCs w:val="22"/>
        </w:rPr>
        <w:t xml:space="preserve">as the church’s ministry of sharing, healing and reconciliation is the very nature of the Church. It demands of individuals and churches a giving which comes not out of what they have, but what they are. </w:t>
      </w:r>
      <w:r w:rsidRPr="001B7AAA">
        <w:rPr>
          <w:rFonts w:asciiTheme="minorHAnsi" w:hAnsiTheme="minorHAnsi"/>
          <w:i/>
          <w:sz w:val="22"/>
          <w:szCs w:val="22"/>
        </w:rPr>
        <w:t>Diakonia</w:t>
      </w:r>
      <w:r>
        <w:rPr>
          <w:rFonts w:asciiTheme="minorHAnsi" w:hAnsiTheme="minorHAnsi"/>
          <w:i/>
          <w:sz w:val="22"/>
          <w:szCs w:val="22"/>
        </w:rPr>
        <w:t xml:space="preserve"> </w:t>
      </w:r>
      <w:r>
        <w:rPr>
          <w:rFonts w:asciiTheme="minorHAnsi" w:hAnsiTheme="minorHAnsi"/>
          <w:sz w:val="22"/>
          <w:szCs w:val="22"/>
        </w:rPr>
        <w:t xml:space="preserve">constantly has to challenge the frozen, static, self-centred structures of the church and transform them into living instruments of the sharing and healing ministry of the church. </w:t>
      </w:r>
      <w:r w:rsidRPr="00E94B6F">
        <w:rPr>
          <w:rFonts w:asciiTheme="minorHAnsi" w:hAnsiTheme="minorHAnsi"/>
          <w:i/>
          <w:sz w:val="22"/>
          <w:szCs w:val="22"/>
        </w:rPr>
        <w:t>Diakonia</w:t>
      </w:r>
      <w:r w:rsidRPr="00E94B6F">
        <w:rPr>
          <w:rFonts w:asciiTheme="minorHAnsi" w:hAnsiTheme="minorHAnsi"/>
          <w:sz w:val="22"/>
          <w:szCs w:val="22"/>
        </w:rPr>
        <w:t xml:space="preserve"> cannot be confined within the institutional framework. It should transcend the established structures and boundaries of the institutional church and become the sharing and healing action of the Holy Spirit through the community of God’s people in and for the world.</w:t>
      </w:r>
      <w:r>
        <w:rPr>
          <w:rFonts w:asciiTheme="minorHAnsi" w:hAnsiTheme="minorHAnsi"/>
          <w:i/>
          <w:sz w:val="22"/>
          <w:szCs w:val="22"/>
        </w:rPr>
        <w:t>”</w:t>
      </w:r>
      <w:r>
        <w:rPr>
          <w:rStyle w:val="FootnoteReference"/>
          <w:rFonts w:asciiTheme="minorHAnsi" w:hAnsiTheme="minorHAnsi"/>
          <w:i/>
          <w:sz w:val="22"/>
          <w:szCs w:val="22"/>
        </w:rPr>
        <w:footnoteReference w:id="31"/>
      </w:r>
    </w:p>
    <w:p w:rsidR="00E94B6F" w:rsidRDefault="0069642B" w:rsidP="005C2127">
      <w:pPr>
        <w:pStyle w:val="NormalWeb"/>
        <w:spacing w:line="480" w:lineRule="auto"/>
        <w:rPr>
          <w:rFonts w:asciiTheme="minorHAnsi" w:hAnsiTheme="minorHAnsi"/>
          <w:sz w:val="22"/>
          <w:szCs w:val="22"/>
        </w:rPr>
      </w:pPr>
      <w:r>
        <w:rPr>
          <w:rFonts w:asciiTheme="minorHAnsi" w:hAnsiTheme="minorHAnsi"/>
          <w:sz w:val="22"/>
          <w:szCs w:val="22"/>
        </w:rPr>
        <w:t xml:space="preserve">I think the emphasis on who the deacon is rather than what the deacon does is an interesting emphasis in this understanding of </w:t>
      </w:r>
      <w:r w:rsidRPr="0069642B">
        <w:rPr>
          <w:rFonts w:asciiTheme="minorHAnsi" w:hAnsiTheme="minorHAnsi"/>
          <w:i/>
          <w:sz w:val="22"/>
          <w:szCs w:val="22"/>
        </w:rPr>
        <w:t>diakonia.</w:t>
      </w:r>
      <w:r>
        <w:rPr>
          <w:rFonts w:asciiTheme="minorHAnsi" w:hAnsiTheme="minorHAnsi"/>
          <w:sz w:val="22"/>
          <w:szCs w:val="22"/>
        </w:rPr>
        <w:t xml:space="preserve"> </w:t>
      </w:r>
      <w:r w:rsidR="00E94B6F">
        <w:rPr>
          <w:rFonts w:asciiTheme="minorHAnsi" w:hAnsiTheme="minorHAnsi"/>
          <w:sz w:val="22"/>
          <w:szCs w:val="22"/>
        </w:rPr>
        <w:t xml:space="preserve"> It is also interesting to note the pneumatological underpinning that is given to </w:t>
      </w:r>
      <w:r w:rsidR="00E94B6F" w:rsidRPr="00950B37">
        <w:rPr>
          <w:rFonts w:asciiTheme="minorHAnsi" w:hAnsiTheme="minorHAnsi"/>
          <w:i/>
          <w:sz w:val="22"/>
          <w:szCs w:val="22"/>
        </w:rPr>
        <w:t>diakonia</w:t>
      </w:r>
      <w:r w:rsidR="00E94B6F">
        <w:rPr>
          <w:rFonts w:asciiTheme="minorHAnsi" w:hAnsiTheme="minorHAnsi"/>
          <w:sz w:val="22"/>
          <w:szCs w:val="22"/>
        </w:rPr>
        <w:t xml:space="preserve"> in this understanding which contrasts with the more widely expressed Christological underpinning for the role of a deacon.</w:t>
      </w:r>
    </w:p>
    <w:p w:rsidR="009E6A9C" w:rsidRPr="00D53608" w:rsidRDefault="00D53608" w:rsidP="005C2127">
      <w:pPr>
        <w:pStyle w:val="Heading2"/>
        <w:spacing w:line="480" w:lineRule="auto"/>
        <w:rPr>
          <w:b w:val="0"/>
          <w:sz w:val="28"/>
          <w:szCs w:val="28"/>
        </w:rPr>
      </w:pPr>
      <w:bookmarkStart w:id="10" w:name="_Toc428110552"/>
      <w:r w:rsidRPr="00D53608">
        <w:rPr>
          <w:b w:val="0"/>
          <w:sz w:val="28"/>
          <w:szCs w:val="28"/>
        </w:rPr>
        <w:t>The Multi-Faith Ministry –Context and Opportunities</w:t>
      </w:r>
      <w:bookmarkEnd w:id="10"/>
      <w:r w:rsidR="00072A20">
        <w:rPr>
          <w:b w:val="0"/>
          <w:sz w:val="28"/>
          <w:szCs w:val="28"/>
        </w:rPr>
        <w:br/>
      </w:r>
    </w:p>
    <w:p w:rsidR="00D53608" w:rsidRDefault="00D53608" w:rsidP="005C2127">
      <w:pPr>
        <w:spacing w:line="480" w:lineRule="auto"/>
      </w:pPr>
      <w:r>
        <w:t xml:space="preserve">Britain is now </w:t>
      </w:r>
      <w:r w:rsidR="004C4F4E">
        <w:t xml:space="preserve">generally considered to be </w:t>
      </w:r>
      <w:r>
        <w:t xml:space="preserve">a multi-faith context even in parts of the country where there are very few people of different faiths. Our consciousness is deeply influence by the global media stories often revolving around faith in conflict and extremism, the anti-immigration rhetoric reaches to most corners of the nation and many people experience aspects of other faiths through popular culture, leisure pursuits such as yoga, novels set in Afghanistan or films from India and personal contact through the workplace or extended families. </w:t>
      </w:r>
    </w:p>
    <w:p w:rsidR="0069642B" w:rsidRDefault="0069642B" w:rsidP="005C2127">
      <w:pPr>
        <w:spacing w:line="480" w:lineRule="auto"/>
      </w:pPr>
      <w:r>
        <w:t>M</w:t>
      </w:r>
      <w:r w:rsidR="00D53608">
        <w:t xml:space="preserve">ost recent Church of England documents, both on mission and those that seek the renewing of the diaconate, do not refer to the religiously plural dimension of contemporary society but instead focus on increasing secularization. </w:t>
      </w:r>
      <w:r>
        <w:t xml:space="preserve">Even the most recent report on mission and Church </w:t>
      </w:r>
      <w:r w:rsidR="006D6602">
        <w:t>g</w:t>
      </w:r>
      <w:r>
        <w:t>rowth</w:t>
      </w:r>
      <w:r w:rsidR="006D6602">
        <w:t xml:space="preserve">, </w:t>
      </w:r>
      <w:r w:rsidR="006D6602" w:rsidRPr="006D6602">
        <w:rPr>
          <w:i/>
        </w:rPr>
        <w:t>From Anecdote to Evidence</w:t>
      </w:r>
      <w:r w:rsidR="006D6602">
        <w:t>, pays very little attention to mission within a multi-faith context.</w:t>
      </w:r>
      <w:r w:rsidR="006D6602">
        <w:rPr>
          <w:rStyle w:val="FootnoteReference"/>
        </w:rPr>
        <w:footnoteReference w:id="32"/>
      </w:r>
    </w:p>
    <w:p w:rsidR="00E94B6F" w:rsidRPr="00E94B6F" w:rsidRDefault="00D53608" w:rsidP="005C2127">
      <w:pPr>
        <w:spacing w:line="480" w:lineRule="auto"/>
      </w:pPr>
      <w:r>
        <w:t xml:space="preserve">Interfaith remains a ‘specialism’ in the Church of England and thus </w:t>
      </w:r>
      <w:r w:rsidR="00E94B6F">
        <w:t>ministry in this context appears to get little attention.</w:t>
      </w:r>
      <w:r w:rsidR="0069642B">
        <w:t xml:space="preserve"> </w:t>
      </w:r>
      <w:r>
        <w:t xml:space="preserve">The </w:t>
      </w:r>
      <w:r w:rsidRPr="006C1012">
        <w:rPr>
          <w:i/>
        </w:rPr>
        <w:t>Presence and Engagement</w:t>
      </w:r>
      <w:r>
        <w:t xml:space="preserve"> (P&amp;E) report  of 2005</w:t>
      </w:r>
      <w:r w:rsidR="00E94B6F">
        <w:t xml:space="preserve"> is the only substantial report produced by a </w:t>
      </w:r>
      <w:r w:rsidR="00E94B6F" w:rsidRPr="00E94B6F">
        <w:t>Church of England-related body to take a serious look at ministry within a multi-faith context. This report will be the basis for my exploration of ministry in a multi-faith context , focussing on the potential role for a deacon.</w:t>
      </w:r>
    </w:p>
    <w:p w:rsidR="00E94B6F" w:rsidRPr="00E94B6F" w:rsidRDefault="00D53608" w:rsidP="005C2127">
      <w:pPr>
        <w:pStyle w:val="NormalWeb"/>
        <w:spacing w:line="480" w:lineRule="auto"/>
        <w:rPr>
          <w:rFonts w:asciiTheme="minorHAnsi" w:hAnsiTheme="minorHAnsi"/>
          <w:sz w:val="22"/>
          <w:szCs w:val="22"/>
        </w:rPr>
      </w:pPr>
      <w:r w:rsidRPr="00E94B6F">
        <w:rPr>
          <w:rFonts w:asciiTheme="minorHAnsi" w:hAnsiTheme="minorHAnsi"/>
          <w:sz w:val="22"/>
          <w:szCs w:val="22"/>
        </w:rPr>
        <w:t>Despite the census of 2011</w:t>
      </w:r>
      <w:r w:rsidR="00625D29">
        <w:rPr>
          <w:rFonts w:asciiTheme="minorHAnsi" w:hAnsiTheme="minorHAnsi"/>
          <w:sz w:val="22"/>
          <w:szCs w:val="22"/>
        </w:rPr>
        <w:t>,</w:t>
      </w:r>
      <w:r w:rsidR="00B32323" w:rsidRPr="00E94B6F">
        <w:rPr>
          <w:rFonts w:asciiTheme="minorHAnsi" w:hAnsiTheme="minorHAnsi"/>
          <w:sz w:val="22"/>
          <w:szCs w:val="22"/>
        </w:rPr>
        <w:t xml:space="preserve"> the</w:t>
      </w:r>
      <w:r w:rsidRPr="00E94B6F">
        <w:rPr>
          <w:rFonts w:asciiTheme="minorHAnsi" w:hAnsiTheme="minorHAnsi"/>
          <w:sz w:val="22"/>
          <w:szCs w:val="22"/>
        </w:rPr>
        <w:t xml:space="preserve"> figures used by the Church of England</w:t>
      </w:r>
      <w:r w:rsidR="00B32323" w:rsidRPr="00E94B6F">
        <w:rPr>
          <w:rFonts w:asciiTheme="minorHAnsi" w:hAnsiTheme="minorHAnsi"/>
          <w:sz w:val="22"/>
          <w:szCs w:val="22"/>
        </w:rPr>
        <w:t>’s interfaith department</w:t>
      </w:r>
      <w:r w:rsidRPr="00E94B6F">
        <w:rPr>
          <w:rFonts w:asciiTheme="minorHAnsi" w:hAnsiTheme="minorHAnsi"/>
          <w:sz w:val="22"/>
          <w:szCs w:val="22"/>
        </w:rPr>
        <w:t xml:space="preserve"> remain those in the Presence and Engagement report and hence draw on census statistics from 2001. The Church of England defines a parish as being multi-faith if more than 10% of the population identify with a different faith community. In the (P&amp;E) report  35 out of the 44 dioceses had a least one parish in a multi-faith context, out of these 900 parishes 40% were in inner urban contexts and 60% were in suburban or urban contexts. Of these parishes, 62 had 50% of their population identifying as belonging to different faith traditions, 228 had between 25% and 50</w:t>
      </w:r>
      <w:r w:rsidR="003A1DA9" w:rsidRPr="00E94B6F">
        <w:rPr>
          <w:rFonts w:asciiTheme="minorHAnsi" w:hAnsiTheme="minorHAnsi"/>
          <w:sz w:val="22"/>
          <w:szCs w:val="22"/>
        </w:rPr>
        <w:t>% and</w:t>
      </w:r>
      <w:r w:rsidRPr="00E94B6F">
        <w:rPr>
          <w:rFonts w:asciiTheme="minorHAnsi" w:hAnsiTheme="minorHAnsi"/>
          <w:sz w:val="22"/>
          <w:szCs w:val="22"/>
        </w:rPr>
        <w:t xml:space="preserve"> </w:t>
      </w:r>
      <w:r w:rsidR="003A1DA9">
        <w:rPr>
          <w:rFonts w:asciiTheme="minorHAnsi" w:hAnsiTheme="minorHAnsi"/>
          <w:sz w:val="22"/>
          <w:szCs w:val="22"/>
        </w:rPr>
        <w:t xml:space="preserve">fewer </w:t>
      </w:r>
      <w:r w:rsidRPr="00E94B6F">
        <w:rPr>
          <w:rFonts w:asciiTheme="minorHAnsi" w:hAnsiTheme="minorHAnsi"/>
          <w:sz w:val="22"/>
          <w:szCs w:val="22"/>
        </w:rPr>
        <w:t xml:space="preserve">than half of the total 12228 parishes had no </w:t>
      </w:r>
      <w:r w:rsidR="00625D29" w:rsidRPr="00E94B6F">
        <w:rPr>
          <w:rFonts w:asciiTheme="minorHAnsi" w:hAnsiTheme="minorHAnsi"/>
          <w:sz w:val="22"/>
          <w:szCs w:val="22"/>
        </w:rPr>
        <w:t>parishioners</w:t>
      </w:r>
      <w:r w:rsidRPr="00E94B6F">
        <w:rPr>
          <w:rFonts w:asciiTheme="minorHAnsi" w:hAnsiTheme="minorHAnsi"/>
          <w:sz w:val="22"/>
          <w:szCs w:val="22"/>
        </w:rPr>
        <w:t xml:space="preserve"> of a different faith community. These figures are li</w:t>
      </w:r>
      <w:r w:rsidR="0069657D">
        <w:rPr>
          <w:rFonts w:asciiTheme="minorHAnsi" w:hAnsiTheme="minorHAnsi"/>
          <w:sz w:val="22"/>
          <w:szCs w:val="22"/>
        </w:rPr>
        <w:t>kely</w:t>
      </w:r>
      <w:r w:rsidRPr="00E94B6F">
        <w:rPr>
          <w:rFonts w:asciiTheme="minorHAnsi" w:hAnsiTheme="minorHAnsi"/>
          <w:sz w:val="22"/>
          <w:szCs w:val="22"/>
        </w:rPr>
        <w:t xml:space="preserve"> to have increased sub</w:t>
      </w:r>
      <w:r w:rsidR="003A1DA9">
        <w:rPr>
          <w:rFonts w:asciiTheme="minorHAnsi" w:hAnsiTheme="minorHAnsi"/>
          <w:sz w:val="22"/>
          <w:szCs w:val="22"/>
        </w:rPr>
        <w:t>stantially in the last 10 years</w:t>
      </w:r>
      <w:r w:rsidR="004724ED" w:rsidRPr="00E94B6F">
        <w:rPr>
          <w:rFonts w:asciiTheme="minorHAnsi" w:hAnsiTheme="minorHAnsi"/>
          <w:sz w:val="22"/>
          <w:szCs w:val="22"/>
        </w:rPr>
        <w:t>,</w:t>
      </w:r>
      <w:r w:rsidRPr="00E94B6F">
        <w:rPr>
          <w:rStyle w:val="FootnoteReference"/>
          <w:rFonts w:asciiTheme="minorHAnsi" w:hAnsiTheme="minorHAnsi"/>
          <w:sz w:val="22"/>
          <w:szCs w:val="22"/>
        </w:rPr>
        <w:footnoteReference w:id="33"/>
      </w:r>
      <w:r w:rsidR="004724ED" w:rsidRPr="00E94B6F">
        <w:rPr>
          <w:rFonts w:asciiTheme="minorHAnsi" w:hAnsiTheme="minorHAnsi"/>
          <w:sz w:val="22"/>
          <w:szCs w:val="22"/>
        </w:rPr>
        <w:t xml:space="preserve"> as latest Census figures reveal that b</w:t>
      </w:r>
      <w:r w:rsidRPr="00E94B6F">
        <w:rPr>
          <w:rFonts w:asciiTheme="minorHAnsi" w:hAnsiTheme="minorHAnsi"/>
          <w:sz w:val="22"/>
          <w:szCs w:val="22"/>
        </w:rPr>
        <w:t>etween 2001 and 2011  there has been a decrease in people who identify as Christian (from 71.7 per cent to 59.3 per cent) and an increase in those reporting no religion (from 14.8 per cent to 25.1 per cent). There were increases in the other main religious group categories, with the number of Muslims increasing the most (from 3.0 per cent to 4.8 per cent).</w:t>
      </w:r>
      <w:r w:rsidRPr="00E94B6F">
        <w:rPr>
          <w:rStyle w:val="FootnoteReference"/>
          <w:rFonts w:asciiTheme="minorHAnsi" w:hAnsiTheme="minorHAnsi"/>
          <w:sz w:val="22"/>
          <w:szCs w:val="22"/>
        </w:rPr>
        <w:footnoteReference w:id="34"/>
      </w:r>
      <w:r w:rsidR="00E94B6F" w:rsidRPr="00E94B6F">
        <w:rPr>
          <w:rFonts w:asciiTheme="minorHAnsi" w:hAnsiTheme="minorHAnsi"/>
          <w:sz w:val="22"/>
          <w:szCs w:val="22"/>
        </w:rPr>
        <w:t xml:space="preserve"> </w:t>
      </w:r>
    </w:p>
    <w:p w:rsidR="00E94B6F" w:rsidRPr="00E94B6F" w:rsidRDefault="00E94B6F" w:rsidP="005C2127">
      <w:pPr>
        <w:pStyle w:val="NormalWeb"/>
        <w:spacing w:line="480" w:lineRule="auto"/>
        <w:rPr>
          <w:rFonts w:asciiTheme="minorHAnsi" w:hAnsiTheme="minorHAnsi"/>
          <w:sz w:val="22"/>
          <w:szCs w:val="22"/>
        </w:rPr>
      </w:pPr>
      <w:r w:rsidRPr="00E94B6F">
        <w:rPr>
          <w:rFonts w:asciiTheme="minorHAnsi" w:hAnsiTheme="minorHAnsi"/>
          <w:sz w:val="22"/>
          <w:szCs w:val="22"/>
        </w:rPr>
        <w:t>Figures published in May 2015 suggest this trend will continue</w:t>
      </w:r>
      <w:r w:rsidR="0069657D">
        <w:rPr>
          <w:rFonts w:asciiTheme="minorHAnsi" w:hAnsiTheme="minorHAnsi"/>
          <w:sz w:val="22"/>
          <w:szCs w:val="22"/>
        </w:rPr>
        <w:t>. R</w:t>
      </w:r>
      <w:r w:rsidRPr="00E94B6F">
        <w:rPr>
          <w:rFonts w:asciiTheme="minorHAnsi" w:hAnsiTheme="minorHAnsi"/>
          <w:sz w:val="22"/>
          <w:szCs w:val="22"/>
        </w:rPr>
        <w:t>esearch conducted by  Pew Research Center in the US suggests that in the UK, if current trends continue, the proportion of the population identifying themselves as Christians will fall from 64% in 2010 to 45% by 2050, while the proportion of Muslims will rise from 5% to 11%.</w:t>
      </w:r>
      <w:r w:rsidRPr="00E94B6F">
        <w:rPr>
          <w:rStyle w:val="FootnoteReference"/>
          <w:rFonts w:asciiTheme="minorHAnsi" w:hAnsiTheme="minorHAnsi"/>
          <w:sz w:val="22"/>
          <w:szCs w:val="22"/>
        </w:rPr>
        <w:footnoteReference w:id="35"/>
      </w:r>
      <w:r w:rsidRPr="00E94B6F">
        <w:rPr>
          <w:rFonts w:asciiTheme="minorHAnsi" w:hAnsiTheme="minorHAnsi"/>
          <w:sz w:val="22"/>
          <w:szCs w:val="22"/>
        </w:rPr>
        <w:t xml:space="preserve"> The report goes on to quote P</w:t>
      </w:r>
      <w:r w:rsidR="003A1DA9">
        <w:rPr>
          <w:rFonts w:asciiTheme="minorHAnsi" w:hAnsiTheme="minorHAnsi"/>
          <w:sz w:val="22"/>
          <w:szCs w:val="22"/>
        </w:rPr>
        <w:t>r</w:t>
      </w:r>
      <w:r w:rsidRPr="00E94B6F">
        <w:rPr>
          <w:rFonts w:asciiTheme="minorHAnsi" w:hAnsiTheme="minorHAnsi"/>
          <w:sz w:val="22"/>
          <w:szCs w:val="22"/>
        </w:rPr>
        <w:t>ofessor Linda Woodhead who claims that the Church of England and Church of Scotland are in collapse because they have become too inward looking and do not fulfil their mission of being a broad church for the whole of society.</w:t>
      </w:r>
    </w:p>
    <w:p w:rsidR="00E94B6F" w:rsidRPr="00E94B6F" w:rsidRDefault="00E94B6F" w:rsidP="0069657D">
      <w:pPr>
        <w:spacing w:before="100" w:beforeAutospacing="1" w:after="100" w:afterAutospacing="1" w:line="480" w:lineRule="auto"/>
        <w:ind w:left="720"/>
        <w:rPr>
          <w:rFonts w:eastAsia="Times New Roman" w:cs="Times New Roman"/>
        </w:rPr>
      </w:pPr>
      <w:r w:rsidRPr="00E94B6F">
        <w:rPr>
          <w:rFonts w:eastAsia="Times New Roman" w:cs="Times New Roman"/>
        </w:rPr>
        <w:t>"The Church of England and the Chu</w:t>
      </w:r>
      <w:r w:rsidR="0069657D">
        <w:rPr>
          <w:rFonts w:eastAsia="Times New Roman" w:cs="Times New Roman"/>
        </w:rPr>
        <w:t xml:space="preserve">rch of Scotland are in collapse. </w:t>
      </w:r>
      <w:r w:rsidRPr="00E94B6F">
        <w:rPr>
          <w:rFonts w:eastAsia="Times New Roman" w:cs="Times New Roman"/>
        </w:rPr>
        <w:t>The Church lost touch with our everyday life and has become inward-looking rather than being a broad Church for the whole of society. The Churches of England and Scotland have failed to win the hearts and minds of the young for several generations now, while numbers for the Catholic Church are really only holding up thanks to immigration."</w:t>
      </w:r>
    </w:p>
    <w:p w:rsidR="00E94B6F" w:rsidRPr="00E94B6F" w:rsidRDefault="0069657D" w:rsidP="005C2127">
      <w:pPr>
        <w:spacing w:before="100" w:beforeAutospacing="1" w:after="100" w:afterAutospacing="1" w:line="480" w:lineRule="auto"/>
        <w:rPr>
          <w:rFonts w:eastAsia="Times New Roman" w:cs="Times New Roman"/>
        </w:rPr>
      </w:pPr>
      <w:r>
        <w:rPr>
          <w:rFonts w:eastAsia="Times New Roman" w:cs="Times New Roman"/>
        </w:rPr>
        <w:t xml:space="preserve">Woodhead is said to </w:t>
      </w:r>
      <w:r w:rsidR="00E94B6F" w:rsidRPr="00E94B6F">
        <w:rPr>
          <w:rFonts w:eastAsia="Times New Roman" w:cs="Times New Roman"/>
        </w:rPr>
        <w:t>believe</w:t>
      </w:r>
      <w:r>
        <w:rPr>
          <w:rFonts w:eastAsia="Times New Roman" w:cs="Times New Roman"/>
        </w:rPr>
        <w:t xml:space="preserve"> </w:t>
      </w:r>
      <w:r w:rsidR="00E94B6F" w:rsidRPr="00E94B6F">
        <w:rPr>
          <w:rFonts w:eastAsia="Times New Roman" w:cs="Times New Roman"/>
        </w:rPr>
        <w:t xml:space="preserve">there is the danger of a future in Britain in which those with no religious affiliation and the faithful </w:t>
      </w:r>
      <w:r>
        <w:rPr>
          <w:rFonts w:eastAsia="Times New Roman" w:cs="Times New Roman"/>
        </w:rPr>
        <w:t>‘</w:t>
      </w:r>
      <w:r w:rsidR="00E94B6F" w:rsidRPr="00E94B6F">
        <w:rPr>
          <w:rFonts w:eastAsia="Times New Roman" w:cs="Times New Roman"/>
        </w:rPr>
        <w:t>won't understand each other</w:t>
      </w:r>
      <w:r>
        <w:rPr>
          <w:rFonts w:eastAsia="Times New Roman" w:cs="Times New Roman"/>
        </w:rPr>
        <w:t>’</w:t>
      </w:r>
      <w:r w:rsidR="00E94B6F" w:rsidRPr="00E94B6F">
        <w:rPr>
          <w:rFonts w:eastAsia="Times New Roman" w:cs="Times New Roman"/>
        </w:rPr>
        <w:t xml:space="preserve">, with the religious of all faiths potentially moving more towards the extremes, with the risk of cultural segregation. </w:t>
      </w:r>
      <w:r>
        <w:rPr>
          <w:rFonts w:eastAsia="Times New Roman" w:cs="Times New Roman"/>
        </w:rPr>
        <w:t>“</w:t>
      </w:r>
      <w:r w:rsidR="00E94B6F" w:rsidRPr="00E94B6F">
        <w:rPr>
          <w:rFonts w:eastAsia="Times New Roman" w:cs="Times New Roman"/>
        </w:rPr>
        <w:t>Religions have a natural dynamic towards more sectarian fundamentalist extremes, and we are losing the moderating forces internally and externally that used to regulate and deal with these tendencies, including Parliamentary interest and involvement,</w:t>
      </w:r>
      <w:r>
        <w:rPr>
          <w:rFonts w:eastAsia="Times New Roman" w:cs="Times New Roman"/>
        </w:rPr>
        <w:t>”</w:t>
      </w:r>
      <w:r w:rsidR="00E94B6F" w:rsidRPr="00E94B6F">
        <w:rPr>
          <w:rFonts w:eastAsia="Times New Roman" w:cs="Times New Roman"/>
        </w:rPr>
        <w:t>she says.</w:t>
      </w:r>
      <w:r>
        <w:rPr>
          <w:rFonts w:eastAsia="Times New Roman" w:cs="Times New Roman"/>
        </w:rPr>
        <w:t>”</w:t>
      </w:r>
      <w:r w:rsidR="00E94B6F" w:rsidRPr="00E94B6F">
        <w:rPr>
          <w:rFonts w:eastAsia="Times New Roman" w:cs="Times New Roman"/>
        </w:rPr>
        <w:t>’</w:t>
      </w:r>
      <w:r w:rsidR="00E94B6F" w:rsidRPr="00E94B6F">
        <w:rPr>
          <w:rStyle w:val="FootnoteReference"/>
          <w:rFonts w:eastAsia="Times New Roman" w:cs="Times New Roman"/>
        </w:rPr>
        <w:footnoteReference w:id="36"/>
      </w:r>
    </w:p>
    <w:p w:rsidR="00E94B6F" w:rsidRDefault="00E94B6F" w:rsidP="005C2127">
      <w:pPr>
        <w:pStyle w:val="NormalWeb"/>
        <w:spacing w:line="480" w:lineRule="auto"/>
        <w:rPr>
          <w:rFonts w:asciiTheme="minorHAnsi" w:hAnsiTheme="minorHAnsi"/>
          <w:sz w:val="22"/>
          <w:szCs w:val="22"/>
        </w:rPr>
      </w:pPr>
      <w:r w:rsidRPr="00E94B6F">
        <w:rPr>
          <w:rFonts w:asciiTheme="minorHAnsi" w:hAnsiTheme="minorHAnsi"/>
          <w:sz w:val="22"/>
          <w:szCs w:val="22"/>
        </w:rPr>
        <w:t xml:space="preserve">A renewed body of deacons would seem to have much to offer the church in this alleged </w:t>
      </w:r>
      <w:r w:rsidR="00625D29" w:rsidRPr="00E94B6F">
        <w:rPr>
          <w:rFonts w:asciiTheme="minorHAnsi" w:hAnsiTheme="minorHAnsi"/>
          <w:sz w:val="22"/>
          <w:szCs w:val="22"/>
        </w:rPr>
        <w:t>predicament</w:t>
      </w:r>
      <w:r w:rsidRPr="00E94B6F">
        <w:rPr>
          <w:rFonts w:asciiTheme="minorHAnsi" w:hAnsiTheme="minorHAnsi"/>
          <w:sz w:val="22"/>
          <w:szCs w:val="22"/>
        </w:rPr>
        <w:t>. As we have seen deacons offer a prophetic challenge to the church w</w:t>
      </w:r>
      <w:r w:rsidR="00FD2553">
        <w:rPr>
          <w:rFonts w:asciiTheme="minorHAnsi" w:hAnsiTheme="minorHAnsi"/>
          <w:sz w:val="22"/>
          <w:szCs w:val="22"/>
        </w:rPr>
        <w:t>hich</w:t>
      </w:r>
      <w:r w:rsidRPr="00E94B6F">
        <w:rPr>
          <w:rFonts w:asciiTheme="minorHAnsi" w:hAnsiTheme="minorHAnsi"/>
          <w:sz w:val="22"/>
          <w:szCs w:val="22"/>
        </w:rPr>
        <w:t xml:space="preserve"> could counter the move toward introversion and be one of the ‘moderating’ forces mitigating against ‘sectarian, fundamentalist extremes.’ The bridging, weaving and connecting outcomes of the deacons work could also ensure that those of no religion and the faithful can understand each other and work together, avoiding the </w:t>
      </w:r>
      <w:r w:rsidR="00625D29" w:rsidRPr="00E94B6F">
        <w:rPr>
          <w:rFonts w:asciiTheme="minorHAnsi" w:hAnsiTheme="minorHAnsi"/>
          <w:sz w:val="22"/>
          <w:szCs w:val="22"/>
        </w:rPr>
        <w:t>perceived</w:t>
      </w:r>
      <w:r w:rsidRPr="00E94B6F">
        <w:rPr>
          <w:rFonts w:asciiTheme="minorHAnsi" w:hAnsiTheme="minorHAnsi"/>
          <w:sz w:val="22"/>
          <w:szCs w:val="22"/>
        </w:rPr>
        <w:t xml:space="preserve"> risk of ‘cultural </w:t>
      </w:r>
      <w:r w:rsidR="00625D29" w:rsidRPr="00E94B6F">
        <w:rPr>
          <w:rFonts w:asciiTheme="minorHAnsi" w:hAnsiTheme="minorHAnsi"/>
          <w:sz w:val="22"/>
          <w:szCs w:val="22"/>
        </w:rPr>
        <w:t>segregation</w:t>
      </w:r>
      <w:r w:rsidRPr="00E94B6F">
        <w:rPr>
          <w:rFonts w:asciiTheme="minorHAnsi" w:hAnsiTheme="minorHAnsi"/>
          <w:sz w:val="22"/>
          <w:szCs w:val="22"/>
        </w:rPr>
        <w:t>.’</w:t>
      </w:r>
    </w:p>
    <w:p w:rsidR="006731B4" w:rsidRDefault="006731B4" w:rsidP="005C2127">
      <w:pPr>
        <w:pStyle w:val="NormalWeb"/>
        <w:spacing w:line="480" w:lineRule="auto"/>
        <w:rPr>
          <w:rFonts w:asciiTheme="minorHAnsi" w:hAnsiTheme="minorHAnsi"/>
          <w:sz w:val="22"/>
          <w:szCs w:val="22"/>
        </w:rPr>
      </w:pPr>
      <w:r>
        <w:rPr>
          <w:rFonts w:asciiTheme="minorHAnsi" w:hAnsiTheme="minorHAnsi"/>
          <w:sz w:val="22"/>
          <w:szCs w:val="22"/>
        </w:rPr>
        <w:t>The introduction to the Presence and Engagement  report takes a more positive view of the changing demography stating confidently that it ‘there is nothing to fear’ and the sense of ‘enrichment’ experienced by those ministering in these areas. It claims the engagement by churches is ‘marvellous’ and there are many ‘encouraging’ stories to share.  Far from cultural segregation and decline for the church the introduction concludes: “But above all we hope that confidence in God will grow as deeper insights into the distinctive contribution the Church of England has to make to these communities of faith with whom we share our national life and seek to develop with them a shared hope in a common future.”</w:t>
      </w:r>
      <w:r>
        <w:rPr>
          <w:rStyle w:val="FootnoteReference"/>
          <w:rFonts w:asciiTheme="minorHAnsi" w:hAnsiTheme="minorHAnsi"/>
          <w:sz w:val="22"/>
          <w:szCs w:val="22"/>
        </w:rPr>
        <w:footnoteReference w:id="37"/>
      </w:r>
    </w:p>
    <w:p w:rsidR="006731B4" w:rsidRDefault="006731B4" w:rsidP="005C2127">
      <w:pPr>
        <w:pStyle w:val="NormalWeb"/>
        <w:spacing w:line="480" w:lineRule="auto"/>
        <w:rPr>
          <w:rFonts w:asciiTheme="minorHAnsi" w:hAnsiTheme="minorHAnsi"/>
          <w:sz w:val="22"/>
          <w:szCs w:val="22"/>
        </w:rPr>
      </w:pPr>
      <w:r>
        <w:rPr>
          <w:rFonts w:asciiTheme="minorHAnsi" w:hAnsiTheme="minorHAnsi"/>
          <w:sz w:val="22"/>
          <w:szCs w:val="22"/>
        </w:rPr>
        <w:t>In the opening reflections, the report identifies the ‘both and’ nature of ‘presence’ and ‘engagement’ as being at once rooted and incarnation</w:t>
      </w:r>
      <w:r w:rsidR="003A1DA9">
        <w:rPr>
          <w:rFonts w:asciiTheme="minorHAnsi" w:hAnsiTheme="minorHAnsi"/>
          <w:sz w:val="22"/>
          <w:szCs w:val="22"/>
        </w:rPr>
        <w:t>al</w:t>
      </w:r>
      <w:r>
        <w:rPr>
          <w:rFonts w:asciiTheme="minorHAnsi" w:hAnsiTheme="minorHAnsi"/>
          <w:sz w:val="22"/>
          <w:szCs w:val="22"/>
        </w:rPr>
        <w:t xml:space="preserve"> in a context as well as dynami</w:t>
      </w:r>
      <w:r w:rsidR="00625D29">
        <w:rPr>
          <w:rFonts w:asciiTheme="minorHAnsi" w:hAnsiTheme="minorHAnsi"/>
          <w:sz w:val="22"/>
          <w:szCs w:val="22"/>
        </w:rPr>
        <w:t xml:space="preserve">c </w:t>
      </w:r>
      <w:r>
        <w:rPr>
          <w:rFonts w:asciiTheme="minorHAnsi" w:hAnsiTheme="minorHAnsi"/>
          <w:sz w:val="22"/>
          <w:szCs w:val="22"/>
        </w:rPr>
        <w:t xml:space="preserve">with a commitment to working for wellbeing for all people.  The report links the presence mode of being with the presence of Christ which ‘seeks constantly to bring human beings into relationship with each other in love’ and the engagement mode with the Spirit of God which ‘constantly seeks to move us on from the fact of presence to the action of engagement. This understanding links clearly with the understanding of a deacon as being both an icon of the Holy Spirit and of Jesus </w:t>
      </w:r>
      <w:r w:rsidR="00FD2553">
        <w:rPr>
          <w:rFonts w:asciiTheme="minorHAnsi" w:hAnsiTheme="minorHAnsi"/>
          <w:sz w:val="22"/>
          <w:szCs w:val="22"/>
        </w:rPr>
        <w:t xml:space="preserve"> and gives scope for an understanding of ministry which is both</w:t>
      </w:r>
      <w:r>
        <w:rPr>
          <w:rFonts w:asciiTheme="minorHAnsi" w:hAnsiTheme="minorHAnsi"/>
          <w:sz w:val="22"/>
          <w:szCs w:val="22"/>
        </w:rPr>
        <w:t xml:space="preserve"> rooted in one place while inhabiting boundaries and offering a prophetic challenge to both the world and the Church. Thus the dual </w:t>
      </w:r>
      <w:r w:rsidR="00625D29">
        <w:rPr>
          <w:rFonts w:asciiTheme="minorHAnsi" w:hAnsiTheme="minorHAnsi"/>
          <w:sz w:val="22"/>
          <w:szCs w:val="22"/>
        </w:rPr>
        <w:t>understanding of</w:t>
      </w:r>
      <w:r>
        <w:rPr>
          <w:rFonts w:asciiTheme="minorHAnsi" w:hAnsiTheme="minorHAnsi"/>
          <w:sz w:val="22"/>
          <w:szCs w:val="22"/>
        </w:rPr>
        <w:t xml:space="preserve"> Presence and Engagement give</w:t>
      </w:r>
      <w:r w:rsidR="00FD2553">
        <w:rPr>
          <w:rFonts w:asciiTheme="minorHAnsi" w:hAnsiTheme="minorHAnsi"/>
          <w:sz w:val="22"/>
          <w:szCs w:val="22"/>
        </w:rPr>
        <w:t>n</w:t>
      </w:r>
      <w:r>
        <w:rPr>
          <w:rFonts w:asciiTheme="minorHAnsi" w:hAnsiTheme="minorHAnsi"/>
          <w:sz w:val="22"/>
          <w:szCs w:val="22"/>
        </w:rPr>
        <w:t xml:space="preserve"> both to this report and to the Church of England’s resourcing of ministry in an interfaith context points to a likely role for deacons in this context. However it must always be remembered that the idea of a ‘parish’ priest is</w:t>
      </w:r>
      <w:r w:rsidR="00FD2553">
        <w:rPr>
          <w:rFonts w:asciiTheme="minorHAnsi" w:hAnsiTheme="minorHAnsi"/>
          <w:sz w:val="22"/>
          <w:szCs w:val="22"/>
        </w:rPr>
        <w:t xml:space="preserve"> one </w:t>
      </w:r>
      <w:r>
        <w:rPr>
          <w:rFonts w:asciiTheme="minorHAnsi" w:hAnsiTheme="minorHAnsi"/>
          <w:sz w:val="22"/>
          <w:szCs w:val="22"/>
        </w:rPr>
        <w:t xml:space="preserve"> of a leader who holds within their ministry</w:t>
      </w:r>
      <w:r w:rsidR="00FD2553">
        <w:rPr>
          <w:rFonts w:asciiTheme="minorHAnsi" w:hAnsiTheme="minorHAnsi"/>
          <w:sz w:val="22"/>
          <w:szCs w:val="22"/>
        </w:rPr>
        <w:t xml:space="preserve"> a dual focus of local </w:t>
      </w:r>
      <w:r>
        <w:rPr>
          <w:rFonts w:asciiTheme="minorHAnsi" w:hAnsiTheme="minorHAnsi"/>
          <w:sz w:val="22"/>
          <w:szCs w:val="22"/>
        </w:rPr>
        <w:t>church</w:t>
      </w:r>
      <w:r w:rsidR="00FD2553">
        <w:rPr>
          <w:rFonts w:asciiTheme="minorHAnsi" w:hAnsiTheme="minorHAnsi"/>
          <w:sz w:val="22"/>
          <w:szCs w:val="22"/>
        </w:rPr>
        <w:t xml:space="preserve"> </w:t>
      </w:r>
      <w:r>
        <w:rPr>
          <w:rFonts w:asciiTheme="minorHAnsi" w:hAnsiTheme="minorHAnsi"/>
          <w:sz w:val="22"/>
          <w:szCs w:val="22"/>
        </w:rPr>
        <w:t>coupled with concern for all who within a particular geographical location.</w:t>
      </w:r>
      <w:r>
        <w:rPr>
          <w:rStyle w:val="FootnoteReference"/>
          <w:rFonts w:asciiTheme="minorHAnsi" w:hAnsiTheme="minorHAnsi"/>
          <w:sz w:val="22"/>
          <w:szCs w:val="22"/>
        </w:rPr>
        <w:footnoteReference w:id="38"/>
      </w:r>
      <w:r>
        <w:rPr>
          <w:rFonts w:asciiTheme="minorHAnsi" w:hAnsiTheme="minorHAnsi"/>
          <w:sz w:val="22"/>
          <w:szCs w:val="22"/>
        </w:rPr>
        <w:t xml:space="preserve"> This is made explicit a little later in the report which talks about the ‘obligation to engage with all and sundry…has been a constant source of re-call out of mere presence towards renewed engagement and rediscovery of the real presence of Christ amongst those who seem to be ‘other’ to the churches.</w:t>
      </w:r>
      <w:r>
        <w:rPr>
          <w:rStyle w:val="FootnoteReference"/>
          <w:rFonts w:asciiTheme="minorHAnsi" w:hAnsiTheme="minorHAnsi"/>
          <w:sz w:val="22"/>
          <w:szCs w:val="22"/>
        </w:rPr>
        <w:footnoteReference w:id="39"/>
      </w:r>
    </w:p>
    <w:p w:rsidR="006731B4" w:rsidRDefault="006731B4" w:rsidP="005C2127">
      <w:pPr>
        <w:pStyle w:val="NormalWeb"/>
        <w:spacing w:line="480" w:lineRule="auto"/>
        <w:rPr>
          <w:rFonts w:asciiTheme="minorHAnsi" w:hAnsiTheme="minorHAnsi"/>
          <w:sz w:val="22"/>
          <w:szCs w:val="22"/>
        </w:rPr>
      </w:pPr>
      <w:r>
        <w:rPr>
          <w:rFonts w:asciiTheme="minorHAnsi" w:hAnsiTheme="minorHAnsi"/>
          <w:sz w:val="22"/>
          <w:szCs w:val="22"/>
        </w:rPr>
        <w:t>The distinctive role of the Church of England, to continue its cure of souls for all people, could be an impetus for a renewed diaconate in the current context where the fragmentation of urban society calls for more and more intentional ministry to build bridges between those who attend church and tho</w:t>
      </w:r>
      <w:r w:rsidR="00753A85">
        <w:rPr>
          <w:rFonts w:asciiTheme="minorHAnsi" w:hAnsiTheme="minorHAnsi"/>
          <w:sz w:val="22"/>
          <w:szCs w:val="22"/>
        </w:rPr>
        <w:t>se whose identity lies either within</w:t>
      </w:r>
      <w:r>
        <w:rPr>
          <w:rFonts w:asciiTheme="minorHAnsi" w:hAnsiTheme="minorHAnsi"/>
          <w:sz w:val="22"/>
          <w:szCs w:val="22"/>
        </w:rPr>
        <w:t xml:space="preserve"> another faith tradition, culture, ethnicity or is based on factors such as sexuality, economics, education or place of work. However this would call for the willingness for parish priests to admit that th</w:t>
      </w:r>
      <w:r w:rsidR="00753A85">
        <w:rPr>
          <w:rFonts w:asciiTheme="minorHAnsi" w:hAnsiTheme="minorHAnsi"/>
          <w:sz w:val="22"/>
          <w:szCs w:val="22"/>
        </w:rPr>
        <w:t>at</w:t>
      </w:r>
      <w:r>
        <w:rPr>
          <w:rFonts w:asciiTheme="minorHAnsi" w:hAnsiTheme="minorHAnsi"/>
          <w:sz w:val="22"/>
          <w:szCs w:val="22"/>
        </w:rPr>
        <w:t xml:space="preserve"> it is becoming increasingly difficult to fulfil the parochial responsibilities and resources to be made available for collaborative working. The report hints at this necessity stating: “The struggle to be faithful through the local church to a comprehensive presence and duty of care to all within the parish has been one of the key struggles of the past twenty five years and remains the subject of intense debated today. The shortage of resou</w:t>
      </w:r>
      <w:r w:rsidR="00753A85">
        <w:rPr>
          <w:rFonts w:asciiTheme="minorHAnsi" w:hAnsiTheme="minorHAnsi"/>
          <w:sz w:val="22"/>
          <w:szCs w:val="22"/>
        </w:rPr>
        <w:t>r</w:t>
      </w:r>
      <w:r>
        <w:rPr>
          <w:rFonts w:asciiTheme="minorHAnsi" w:hAnsiTheme="minorHAnsi"/>
          <w:sz w:val="22"/>
          <w:szCs w:val="22"/>
        </w:rPr>
        <w:t>ces needed, the rapidly changing patt</w:t>
      </w:r>
      <w:r w:rsidR="00FD2553">
        <w:rPr>
          <w:rFonts w:asciiTheme="minorHAnsi" w:hAnsiTheme="minorHAnsi"/>
          <w:sz w:val="22"/>
          <w:szCs w:val="22"/>
        </w:rPr>
        <w:t>erns of settlement, the in</w:t>
      </w:r>
      <w:r>
        <w:rPr>
          <w:rFonts w:asciiTheme="minorHAnsi" w:hAnsiTheme="minorHAnsi"/>
          <w:sz w:val="22"/>
          <w:szCs w:val="22"/>
        </w:rPr>
        <w:t>appropriateness of the building stock and the reducing connectedness of the wider culture to its Christian foundations, all have given rise to questions about the desirability and the feasibility of maintaining a universal geographic presence.”</w:t>
      </w:r>
    </w:p>
    <w:p w:rsidR="006731B4" w:rsidRPr="006731B4" w:rsidRDefault="0000127A" w:rsidP="005C2127">
      <w:pPr>
        <w:pStyle w:val="NormalWeb"/>
        <w:spacing w:line="480" w:lineRule="auto"/>
        <w:rPr>
          <w:rFonts w:asciiTheme="minorHAnsi" w:hAnsiTheme="minorHAnsi"/>
          <w:sz w:val="22"/>
          <w:szCs w:val="22"/>
        </w:rPr>
      </w:pPr>
      <w:r>
        <w:rPr>
          <w:rFonts w:asciiTheme="minorHAnsi" w:hAnsiTheme="minorHAnsi"/>
          <w:sz w:val="22"/>
          <w:szCs w:val="22"/>
        </w:rPr>
        <w:t>T</w:t>
      </w:r>
      <w:r w:rsidR="00753A85">
        <w:rPr>
          <w:rFonts w:asciiTheme="minorHAnsi" w:hAnsiTheme="minorHAnsi"/>
          <w:sz w:val="22"/>
          <w:szCs w:val="22"/>
        </w:rPr>
        <w:t>he report points out the geographical location is an all-encompassing reality for those with fewer choices and resources and the desire to live alongside those not perceived to be ‘other’ is found amongst people of all economic backgrounds. With this pull to separation and fragmentation</w:t>
      </w:r>
      <w:r>
        <w:rPr>
          <w:rFonts w:asciiTheme="minorHAnsi" w:hAnsiTheme="minorHAnsi"/>
          <w:sz w:val="22"/>
          <w:szCs w:val="22"/>
        </w:rPr>
        <w:t>,</w:t>
      </w:r>
      <w:r w:rsidR="00753A85">
        <w:rPr>
          <w:rFonts w:asciiTheme="minorHAnsi" w:hAnsiTheme="minorHAnsi"/>
          <w:sz w:val="22"/>
          <w:szCs w:val="22"/>
        </w:rPr>
        <w:t xml:space="preserve"> the Church has a unique role to play, according to the report, it could be ‘truly diverse’....’holding hands with the multiplicity of communities in its neighbourhood.’</w:t>
      </w:r>
      <w:r w:rsidR="00753A85">
        <w:rPr>
          <w:rStyle w:val="FootnoteReference"/>
          <w:rFonts w:asciiTheme="minorHAnsi" w:hAnsiTheme="minorHAnsi"/>
          <w:sz w:val="22"/>
          <w:szCs w:val="22"/>
        </w:rPr>
        <w:footnoteReference w:id="40"/>
      </w:r>
      <w:r w:rsidR="009C1998">
        <w:rPr>
          <w:rFonts w:asciiTheme="minorHAnsi" w:hAnsiTheme="minorHAnsi"/>
          <w:sz w:val="22"/>
          <w:szCs w:val="22"/>
        </w:rPr>
        <w:t>This is an important aspiration for the church but it is not supported by the allocation of resources, the training of clergy, the outcomes measured by the central church or the understanding of a ‘successful’ ministry predicated on church growth</w:t>
      </w:r>
      <w:r w:rsidR="00753A85">
        <w:rPr>
          <w:rFonts w:asciiTheme="minorHAnsi" w:hAnsiTheme="minorHAnsi"/>
          <w:sz w:val="22"/>
          <w:szCs w:val="22"/>
        </w:rPr>
        <w:t>.</w:t>
      </w:r>
    </w:p>
    <w:p w:rsidR="00D53608" w:rsidRDefault="00753A85" w:rsidP="005C2127">
      <w:pPr>
        <w:spacing w:line="480" w:lineRule="auto"/>
      </w:pPr>
      <w:r>
        <w:t xml:space="preserve">The gap between aspiration and reality becomes clearer later in the report – the research revealed that </w:t>
      </w:r>
      <w:r w:rsidR="00D53608">
        <w:t>70% of clergy in many of the key dioceses such as Birmingham, Blackburn, Lichfield, London and So</w:t>
      </w:r>
      <w:r>
        <w:t>u</w:t>
      </w:r>
      <w:r w:rsidR="00D53608">
        <w:t>thwark report they have fewer than five contacts a month with people of different faiths. Their congregations report similar levels of contact.</w:t>
      </w:r>
      <w:r w:rsidR="00D53608">
        <w:rPr>
          <w:rStyle w:val="FootnoteReference"/>
        </w:rPr>
        <w:footnoteReference w:id="41"/>
      </w:r>
      <w:r w:rsidR="00D53608">
        <w:t xml:space="preserve"> It would be interesting to see how those statistics would be changed if a deacon were working alongside a priest in a parish.</w:t>
      </w:r>
    </w:p>
    <w:p w:rsidR="00753A85" w:rsidRDefault="00753A85" w:rsidP="005C2127">
      <w:pPr>
        <w:spacing w:line="480" w:lineRule="auto"/>
      </w:pPr>
      <w:r>
        <w:t xml:space="preserve">A large section of the report is dedicated to stories of encounter – these stories centre around encounters with schools, public acts of worship </w:t>
      </w:r>
      <w:r w:rsidR="0000127A">
        <w:t>e.g.</w:t>
      </w:r>
      <w:r w:rsidR="003A1DA9">
        <w:t xml:space="preserve"> </w:t>
      </w:r>
      <w:r>
        <w:t>Good Friday Walk of Witness, contacts through community engagement, encounters through pastoral liturgy, links through use of buildings and church visits and neighbourly relations.</w:t>
      </w:r>
      <w:r w:rsidR="004D7F53">
        <w:rPr>
          <w:rStyle w:val="FootnoteReference"/>
        </w:rPr>
        <w:footnoteReference w:id="42"/>
      </w:r>
      <w:r>
        <w:t xml:space="preserve"> This list of encounters suggests that the church does not need to do anything new or dramatic but does need to build on what it already does well and perhaps be intentional about being accessible to people of other faiths. </w:t>
      </w:r>
      <w:r w:rsidR="004D7F53">
        <w:t>Churches do not need to be reshaped but might well be helped by someone who has an eye on their doorway and aims to make the threshold as permeable as possible.</w:t>
      </w:r>
    </w:p>
    <w:p w:rsidR="00D53608" w:rsidRDefault="004D7F53" w:rsidP="005C2127">
      <w:pPr>
        <w:spacing w:line="480" w:lineRule="auto"/>
      </w:pPr>
      <w:r>
        <w:t>This report, due to its methods of research, is quite clergy-focussed and particular clergy are picked out because of their ethnicity.</w:t>
      </w:r>
      <w:r w:rsidR="00892C29">
        <w:rPr>
          <w:rStyle w:val="FootnoteReference"/>
        </w:rPr>
        <w:footnoteReference w:id="43"/>
      </w:r>
      <w:r w:rsidR="00892C29">
        <w:t xml:space="preserve"> </w:t>
      </w:r>
      <w:r w:rsidR="00D53608">
        <w:t>The</w:t>
      </w:r>
      <w:r w:rsidR="00892C29">
        <w:t xml:space="preserve"> pressure on clergy in these contexts</w:t>
      </w:r>
      <w:r w:rsidR="0000127A">
        <w:t xml:space="preserve"> </w:t>
      </w:r>
      <w:r w:rsidR="00892C29">
        <w:t>is made clear in the report</w:t>
      </w:r>
      <w:r w:rsidR="0000127A">
        <w:t xml:space="preserve">. </w:t>
      </w:r>
      <w:r w:rsidR="00892C29">
        <w:t xml:space="preserve"> Although </w:t>
      </w:r>
      <w:r w:rsidR="00D53608">
        <w:t xml:space="preserve">clergy were encouraged by congregations willing to accept change and supportive clergy relations </w:t>
      </w:r>
      <w:r w:rsidR="00892C29">
        <w:t xml:space="preserve">they were </w:t>
      </w:r>
      <w:r w:rsidR="00D53608">
        <w:t>dispirited by excessive workloads, lack of resources, declining and disengaged congregations. They felt what would make the greatest difference w</w:t>
      </w:r>
      <w:r w:rsidR="00892C29">
        <w:t>ere</w:t>
      </w:r>
      <w:r w:rsidR="00D53608">
        <w:t xml:space="preserve"> dialogue initiatives and other Christian workers.</w:t>
      </w:r>
      <w:r w:rsidR="00E94B6F">
        <w:rPr>
          <w:rStyle w:val="FootnoteReference"/>
        </w:rPr>
        <w:footnoteReference w:id="44"/>
      </w:r>
      <w:r w:rsidR="00D53608">
        <w:t xml:space="preserve"> These findings alone indicate some very </w:t>
      </w:r>
      <w:r w:rsidR="00D53608" w:rsidRPr="00892C29">
        <w:t>practical</w:t>
      </w:r>
      <w:r w:rsidR="00D53608">
        <w:t xml:space="preserve"> suggestions for the role of a deacon in a multi-faith context, initiating dialogue, enabling congregations to engage, supporting colleagues and building relationships with local people of different faiths. These roles fit well into the framework uncovered in the last section of this dissertation.</w:t>
      </w:r>
    </w:p>
    <w:p w:rsidR="00892C29" w:rsidRDefault="00892C29" w:rsidP="005C2127">
      <w:pPr>
        <w:spacing w:line="480" w:lineRule="auto"/>
      </w:pPr>
      <w:r>
        <w:t xml:space="preserve">As well as relating to clergy colleagues, deacons could have a key role relating to churches or clusters of churches. Another key finding of the report was that 60-70% of churches across all dioceses (except Wakefield and Bradford) responded negatively to the question: </w:t>
      </w:r>
      <w:r w:rsidRPr="00892C29">
        <w:rPr>
          <w:i/>
        </w:rPr>
        <w:t>“Does the church work with other Christian churches on anything specifically related to other faith communities?”</w:t>
      </w:r>
      <w:r>
        <w:t xml:space="preserve"> Partnership working with other Christian communities could make the most of scarce resources and encourage churches to build on their current activities to instigate a dialogue programme or an initiative that works together for the common good, intentionally designed to bring people of different faiths together in a neighbourhood. This kind of work is being stimulated by the Government’s </w:t>
      </w:r>
      <w:r w:rsidRPr="00892C29">
        <w:rPr>
          <w:i/>
        </w:rPr>
        <w:t>Near Neighbours</w:t>
      </w:r>
      <w:r>
        <w:t xml:space="preserve"> programme and is </w:t>
      </w:r>
      <w:r w:rsidR="00A346D0">
        <w:t>appearing to have a significant impact on the areas in which it is in operation. The role of clergy has played a key part in the success of the initiative.</w:t>
      </w:r>
      <w:r w:rsidR="00A346D0">
        <w:rPr>
          <w:rStyle w:val="FootnoteReference"/>
        </w:rPr>
        <w:footnoteReference w:id="45"/>
      </w:r>
    </w:p>
    <w:p w:rsidR="009C1998" w:rsidRDefault="00387BDD" w:rsidP="005C2127">
      <w:pPr>
        <w:spacing w:line="480" w:lineRule="auto"/>
      </w:pPr>
      <w:r>
        <w:t>In summary this report indicates that there is much potential for fruitful interfaith engagement through the traditional elements of church life as well as the need for specialist initiatives to build community among people of different faith. While the report calls for greater and more in depth training for clergy it seems to me that w</w:t>
      </w:r>
      <w:r w:rsidR="00FD2553">
        <w:t>hat</w:t>
      </w:r>
      <w:r>
        <w:t xml:space="preserve"> is needed is not so much more theoretical knowledge but the resources to spend time with people of different faiths, the impetus to prioritise ministry that brings people together, the normalisation of partnership and joint working and the confidence to inhabit a neighbourhood fully while maintaining a distinctive Christian witness. Deacons with their blend of missionary roles, relationship forming activities and their rootedness in the church offer a resource that could do much to close the gap between reality and aspiration seen in the report.</w:t>
      </w:r>
    </w:p>
    <w:p w:rsidR="00892C29" w:rsidRPr="007A355E" w:rsidRDefault="000A75FC" w:rsidP="005C2127">
      <w:pPr>
        <w:pStyle w:val="Heading1"/>
        <w:spacing w:line="480" w:lineRule="auto"/>
        <w:rPr>
          <w:b w:val="0"/>
        </w:rPr>
      </w:pPr>
      <w:bookmarkStart w:id="11" w:name="_Toc428110553"/>
      <w:r w:rsidRPr="007A355E">
        <w:rPr>
          <w:b w:val="0"/>
        </w:rPr>
        <w:t>Research Methods</w:t>
      </w:r>
      <w:bookmarkEnd w:id="11"/>
      <w:r w:rsidR="00072A20">
        <w:rPr>
          <w:b w:val="0"/>
        </w:rPr>
        <w:br/>
      </w:r>
    </w:p>
    <w:p w:rsidR="000A75FC" w:rsidRDefault="000A75FC" w:rsidP="005C2127">
      <w:pPr>
        <w:spacing w:line="480" w:lineRule="auto"/>
      </w:pPr>
      <w:r>
        <w:t xml:space="preserve">The research undertaken was conducted largely through a questionnaire (attached </w:t>
      </w:r>
      <w:r w:rsidR="00BC2BC0">
        <w:t>A</w:t>
      </w:r>
      <w:r>
        <w:t>ppendix</w:t>
      </w:r>
      <w:r w:rsidR="003A1DA9">
        <w:t xml:space="preserve"> </w:t>
      </w:r>
      <w:r w:rsidR="0000127A">
        <w:t>3</w:t>
      </w:r>
      <w:r>
        <w:t xml:space="preserve">) which was distributed through several channels in order to reach deacons, and priests and Bishops, who work in multi-faith contexts. The Church of England does not have an official register of deacons so the questionnaire was disseminated to Anglican deacons through the Presence and Engagement networks. </w:t>
      </w:r>
    </w:p>
    <w:p w:rsidR="000A75FC" w:rsidRDefault="000A75FC" w:rsidP="005C2127">
      <w:pPr>
        <w:spacing w:line="480" w:lineRule="auto"/>
      </w:pPr>
      <w:r>
        <w:t xml:space="preserve">Some linking through diaconal networks in </w:t>
      </w:r>
      <w:r w:rsidR="00FD2553">
        <w:t>d</w:t>
      </w:r>
      <w:r>
        <w:t xml:space="preserve">ioceses such as Lincoln and Chichester where the </w:t>
      </w:r>
      <w:r w:rsidR="00FD2553">
        <w:t>p</w:t>
      </w:r>
      <w:r>
        <w:t xml:space="preserve">ermanent </w:t>
      </w:r>
      <w:r w:rsidR="00FD2553">
        <w:t>d</w:t>
      </w:r>
      <w:r>
        <w:t>iaconate is more understood also led to some more responses and including the connection to deacons in Sweden who work in a multi-faith setting. Ecumenical networks in Birmingham were used to contact two Roman Catholic deacons working in a multi-faith setting.  These channels brought about 20 responses from Anglican, Catholic and Lutheran deacons as well as Anglican priests and a Bishop.</w:t>
      </w:r>
    </w:p>
    <w:p w:rsidR="000A75FC" w:rsidRDefault="000A75FC" w:rsidP="005C2127">
      <w:pPr>
        <w:spacing w:line="480" w:lineRule="auto"/>
      </w:pPr>
      <w:r>
        <w:t>In addition the questionnaire was distributed at the Methodist convocation of deacons. This led to the return of 1</w:t>
      </w:r>
      <w:r w:rsidR="0093201E">
        <w:t>3</w:t>
      </w:r>
      <w:r>
        <w:t xml:space="preserve"> questionnaires from deacons not based in a multi-faith context. These questionnaires have been used in dialogue with the other 20 to explore some of the different understandings of diaconate between denominations.</w:t>
      </w:r>
    </w:p>
    <w:p w:rsidR="000A75FC" w:rsidRDefault="000A75FC" w:rsidP="005C2127">
      <w:pPr>
        <w:spacing w:line="480" w:lineRule="auto"/>
      </w:pPr>
      <w:r>
        <w:t>There were several purposes to the research questions:</w:t>
      </w:r>
    </w:p>
    <w:p w:rsidR="000A75FC" w:rsidRDefault="000A75FC" w:rsidP="005C2127">
      <w:pPr>
        <w:pStyle w:val="ListParagraph"/>
        <w:numPr>
          <w:ilvl w:val="0"/>
          <w:numId w:val="7"/>
        </w:numPr>
        <w:spacing w:line="480" w:lineRule="auto"/>
      </w:pPr>
      <w:r>
        <w:t>To see if the descriptors suggested in the literature review matched with the experience and practice of those in ministry</w:t>
      </w:r>
    </w:p>
    <w:p w:rsidR="000A75FC" w:rsidRDefault="000A75FC" w:rsidP="005C2127">
      <w:pPr>
        <w:pStyle w:val="ListParagraph"/>
        <w:numPr>
          <w:ilvl w:val="0"/>
          <w:numId w:val="7"/>
        </w:numPr>
        <w:spacing w:line="480" w:lineRule="auto"/>
      </w:pPr>
      <w:r>
        <w:t>To see if the descriptors suggested in the literature review for deacons could be applied to mi</w:t>
      </w:r>
      <w:r w:rsidR="00C54E14">
        <w:t>nistry in a multi-faith context</w:t>
      </w:r>
    </w:p>
    <w:p w:rsidR="005F3EA5" w:rsidRDefault="005F3EA5" w:rsidP="005C2127">
      <w:pPr>
        <w:pStyle w:val="ListParagraph"/>
        <w:numPr>
          <w:ilvl w:val="0"/>
          <w:numId w:val="7"/>
        </w:numPr>
        <w:spacing w:line="480" w:lineRule="auto"/>
      </w:pPr>
      <w:r>
        <w:t>To collect and analyse other descriptions of the diaconate and multi-faith ministry</w:t>
      </w:r>
    </w:p>
    <w:p w:rsidR="00C54E14" w:rsidRDefault="00C54E14" w:rsidP="005C2127">
      <w:pPr>
        <w:pStyle w:val="ListParagraph"/>
        <w:numPr>
          <w:ilvl w:val="0"/>
          <w:numId w:val="7"/>
        </w:numPr>
        <w:spacing w:line="480" w:lineRule="auto"/>
      </w:pPr>
      <w:r>
        <w:t>To explore what is distinctive about diaconal ministry</w:t>
      </w:r>
    </w:p>
    <w:p w:rsidR="00C54E14" w:rsidRDefault="00C54E14" w:rsidP="005C2127">
      <w:pPr>
        <w:pStyle w:val="ListParagraph"/>
        <w:numPr>
          <w:ilvl w:val="0"/>
          <w:numId w:val="7"/>
        </w:numPr>
        <w:spacing w:line="480" w:lineRule="auto"/>
      </w:pPr>
      <w:r>
        <w:t>To ask directly whether a distinctive role is perceived for a deacon in a multi-faith context.</w:t>
      </w:r>
    </w:p>
    <w:p w:rsidR="00C54E14" w:rsidRDefault="00C54E14" w:rsidP="005C2127">
      <w:pPr>
        <w:spacing w:line="480" w:lineRule="auto"/>
      </w:pPr>
      <w:r>
        <w:t>The scale and nature of the research means this inquiry remains a qualitative research project. However it was decided to use questionnaires to interview people in order to be able practically to gain responses of disparate people and to try and reduce the reflexivity of the research. The questionnaire put some distance between the researcher and the interviewee. However the covering e-mail did give some autobiographical detail which may have affected the research.</w:t>
      </w:r>
    </w:p>
    <w:p w:rsidR="00C54E14" w:rsidRDefault="005F3EA5" w:rsidP="005C2127">
      <w:pPr>
        <w:spacing w:line="480" w:lineRule="auto"/>
      </w:pPr>
      <w:r>
        <w:t xml:space="preserve"> It was not felt necessary to give anonymity to respondents and names, role and denomination are given on the form. It might have been useful to be able to analyse the replies by age, gender and ethnicity but this information was not requested.</w:t>
      </w:r>
    </w:p>
    <w:p w:rsidR="005F3EA5" w:rsidRPr="005F3EA5" w:rsidRDefault="005F3EA5" w:rsidP="005C2127">
      <w:pPr>
        <w:pStyle w:val="Heading1"/>
        <w:spacing w:line="480" w:lineRule="auto"/>
        <w:rPr>
          <w:b w:val="0"/>
        </w:rPr>
      </w:pPr>
      <w:bookmarkStart w:id="12" w:name="_Toc428110554"/>
      <w:r w:rsidRPr="005F3EA5">
        <w:rPr>
          <w:b w:val="0"/>
        </w:rPr>
        <w:t>Questionnaire Responses</w:t>
      </w:r>
      <w:bookmarkEnd w:id="12"/>
      <w:r w:rsidR="00072A20">
        <w:rPr>
          <w:b w:val="0"/>
        </w:rPr>
        <w:br/>
      </w:r>
    </w:p>
    <w:p w:rsidR="00740E92" w:rsidRPr="00740E92" w:rsidRDefault="00740E92" w:rsidP="005C2127">
      <w:pPr>
        <w:pStyle w:val="Heading2"/>
        <w:spacing w:line="480" w:lineRule="auto"/>
        <w:rPr>
          <w:b w:val="0"/>
        </w:rPr>
      </w:pPr>
      <w:bookmarkStart w:id="13" w:name="_Toc428110555"/>
      <w:r>
        <w:rPr>
          <w:b w:val="0"/>
        </w:rPr>
        <w:t xml:space="preserve">1. </w:t>
      </w:r>
      <w:r w:rsidRPr="00740E92">
        <w:rPr>
          <w:b w:val="0"/>
        </w:rPr>
        <w:t>Responses to Descriptors of Deacons from the Literature Review</w:t>
      </w:r>
      <w:bookmarkEnd w:id="13"/>
    </w:p>
    <w:p w:rsidR="00740E92" w:rsidRDefault="00A6277C" w:rsidP="005C2127">
      <w:pPr>
        <w:spacing w:line="480" w:lineRule="auto"/>
      </w:pPr>
      <w:r>
        <w:t>a.)</w:t>
      </w:r>
      <w:r w:rsidR="00740E92">
        <w:t>Responses from deacons in multi-faith areas including Anglican Bishops and Priests, Catholics, Lutheran and Anglican permanent deacons.</w:t>
      </w:r>
    </w:p>
    <w:p w:rsidR="00740E92" w:rsidRDefault="00740E92" w:rsidP="005C2127">
      <w:pPr>
        <w:spacing w:line="480" w:lineRule="auto"/>
      </w:pPr>
      <w:r>
        <w:t xml:space="preserve">There was a strongly positive response to the descriptors suggested by the literature review. Respondents were asked to register their degree of agreement or disagreement to each descriptor using a table given on the questionnaire. Each of the 20 respondents </w:t>
      </w:r>
      <w:r w:rsidR="003A1DA9">
        <w:t>was</w:t>
      </w:r>
      <w:r>
        <w:t xml:space="preserve"> asked to assess the 20 descriptors giving a total of 400 responses on the table.</w:t>
      </w:r>
    </w:p>
    <w:p w:rsidR="00740E92" w:rsidRDefault="00740E92" w:rsidP="005C2127">
      <w:pPr>
        <w:spacing w:line="480" w:lineRule="auto"/>
      </w:pPr>
      <w:r>
        <w:t xml:space="preserve">A large majority of responses were in the Agreed or Strongly Agreed column ( 283 or 70.75%). Of those 145 (36.25%) were in the Strongly Agreed column and </w:t>
      </w:r>
      <w:r w:rsidR="00A6277C">
        <w:t>143 (35.75%) were in the Agreed column</w:t>
      </w:r>
    </w:p>
    <w:p w:rsidR="00740E92" w:rsidRDefault="00740E92" w:rsidP="005C2127">
      <w:pPr>
        <w:spacing w:line="480" w:lineRule="auto"/>
      </w:pPr>
      <w:r>
        <w:t>Only 4</w:t>
      </w:r>
      <w:r w:rsidR="00A6277C">
        <w:t>% or 1</w:t>
      </w:r>
      <w:r w:rsidR="00BE5AAC">
        <w:t>6</w:t>
      </w:r>
      <w:r w:rsidR="00A6277C">
        <w:t xml:space="preserve"> responses were in the D</w:t>
      </w:r>
      <w:r>
        <w:t>isagree</w:t>
      </w:r>
      <w:r w:rsidR="00A6277C">
        <w:t xml:space="preserve"> column. Of these 4 were placed against the descriptor</w:t>
      </w:r>
      <w:r>
        <w:t xml:space="preserve"> Minister of the </w:t>
      </w:r>
      <w:r w:rsidR="00BE5AAC">
        <w:t>Eucharist,</w:t>
      </w:r>
      <w:r w:rsidR="00A6277C">
        <w:t xml:space="preserve"> 2 each were placed against the descriptors Rooted in A Place,</w:t>
      </w:r>
      <w:r w:rsidR="00BE5AAC">
        <w:t xml:space="preserve"> Boundary Dweller, Mediator/Reconciler, Ambassador/Envoy  and Pioneer </w:t>
      </w:r>
      <w:r w:rsidR="00A6277C">
        <w:t xml:space="preserve">.  </w:t>
      </w:r>
    </w:p>
    <w:p w:rsidR="00A6277C" w:rsidRDefault="00A6277C" w:rsidP="005C2127">
      <w:pPr>
        <w:spacing w:line="480" w:lineRule="auto"/>
      </w:pPr>
      <w:r>
        <w:t xml:space="preserve">The five most popular descriptors are listed below with the responses next to them. </w:t>
      </w:r>
    </w:p>
    <w:p w:rsidR="00740E92" w:rsidRDefault="00740E92" w:rsidP="005C2127">
      <w:pPr>
        <w:spacing w:line="480" w:lineRule="auto"/>
      </w:pPr>
      <w:r>
        <w:tab/>
      </w:r>
      <w:r w:rsidR="00A6277C">
        <w:tab/>
      </w:r>
      <w:r w:rsidR="00A6277C">
        <w:tab/>
      </w:r>
      <w:r w:rsidR="00A6277C">
        <w:tab/>
        <w:t>Strongly agreed</w:t>
      </w:r>
      <w:r w:rsidR="00A6277C">
        <w:tab/>
      </w:r>
      <w:r w:rsidR="00A6277C">
        <w:tab/>
      </w:r>
      <w:r w:rsidR="00A6277C">
        <w:tab/>
      </w:r>
      <w:r>
        <w:t>Agreed</w:t>
      </w:r>
      <w:r w:rsidR="00A6277C">
        <w:tab/>
      </w:r>
      <w:r w:rsidR="00A6277C">
        <w:tab/>
        <w:t>Total</w:t>
      </w:r>
      <w:r w:rsidR="0093201E">
        <w:t xml:space="preserve"> (%)</w:t>
      </w:r>
    </w:p>
    <w:p w:rsidR="00740E92" w:rsidRDefault="00740E92" w:rsidP="005C2127">
      <w:pPr>
        <w:spacing w:line="480" w:lineRule="auto"/>
      </w:pPr>
      <w:r>
        <w:t xml:space="preserve">One who prays </w:t>
      </w:r>
      <w:r>
        <w:tab/>
      </w:r>
      <w:r>
        <w:tab/>
      </w:r>
      <w:r>
        <w:tab/>
        <w:t>15</w:t>
      </w:r>
      <w:r>
        <w:tab/>
      </w:r>
      <w:r>
        <w:tab/>
      </w:r>
      <w:r>
        <w:tab/>
      </w:r>
      <w:r>
        <w:tab/>
        <w:t>3</w:t>
      </w:r>
      <w:r w:rsidR="00A6277C">
        <w:tab/>
      </w:r>
      <w:r w:rsidR="00A6277C">
        <w:tab/>
        <w:t>18</w:t>
      </w:r>
      <w:r w:rsidR="0093201E">
        <w:tab/>
        <w:t>(90)</w:t>
      </w:r>
      <w:r w:rsidR="0093201E">
        <w:tab/>
      </w:r>
    </w:p>
    <w:p w:rsidR="00740E92" w:rsidRDefault="00740E92" w:rsidP="005C2127">
      <w:pPr>
        <w:spacing w:line="480" w:lineRule="auto"/>
      </w:pPr>
      <w:r>
        <w:t xml:space="preserve">Servant </w:t>
      </w:r>
      <w:r>
        <w:tab/>
      </w:r>
      <w:r>
        <w:tab/>
      </w:r>
      <w:r>
        <w:tab/>
        <w:t>14</w:t>
      </w:r>
      <w:r>
        <w:tab/>
      </w:r>
      <w:r>
        <w:tab/>
      </w:r>
      <w:r>
        <w:tab/>
      </w:r>
      <w:r>
        <w:tab/>
        <w:t>3</w:t>
      </w:r>
      <w:r w:rsidR="00A6277C">
        <w:tab/>
      </w:r>
      <w:r w:rsidR="00A6277C">
        <w:tab/>
        <w:t>17</w:t>
      </w:r>
      <w:r w:rsidR="0093201E">
        <w:tab/>
        <w:t>(85)</w:t>
      </w:r>
    </w:p>
    <w:p w:rsidR="00740E92" w:rsidRDefault="00740E92" w:rsidP="005C2127">
      <w:pPr>
        <w:spacing w:line="480" w:lineRule="auto"/>
      </w:pPr>
      <w:r>
        <w:t xml:space="preserve">Enabler of Others </w:t>
      </w:r>
      <w:r>
        <w:tab/>
      </w:r>
      <w:r>
        <w:tab/>
        <w:t>13</w:t>
      </w:r>
      <w:r>
        <w:tab/>
      </w:r>
      <w:r>
        <w:tab/>
      </w:r>
      <w:r>
        <w:tab/>
      </w:r>
      <w:r>
        <w:tab/>
        <w:t>7</w:t>
      </w:r>
      <w:r w:rsidR="00A6277C">
        <w:tab/>
      </w:r>
      <w:r w:rsidR="00A6277C">
        <w:tab/>
        <w:t>20</w:t>
      </w:r>
      <w:r w:rsidR="0093201E">
        <w:tab/>
        <w:t>(100)</w:t>
      </w:r>
    </w:p>
    <w:p w:rsidR="00740E92" w:rsidRDefault="00740E92" w:rsidP="005C2127">
      <w:pPr>
        <w:spacing w:line="480" w:lineRule="auto"/>
      </w:pPr>
      <w:r>
        <w:t>Minister of the word</w:t>
      </w:r>
      <w:r>
        <w:tab/>
      </w:r>
      <w:r>
        <w:tab/>
        <w:t xml:space="preserve"> 10</w:t>
      </w:r>
      <w:r>
        <w:tab/>
      </w:r>
      <w:r>
        <w:tab/>
      </w:r>
      <w:r>
        <w:tab/>
      </w:r>
      <w:r>
        <w:tab/>
        <w:t xml:space="preserve">8 </w:t>
      </w:r>
      <w:r w:rsidR="00A6277C">
        <w:tab/>
      </w:r>
      <w:r w:rsidR="00A6277C">
        <w:tab/>
        <w:t>18</w:t>
      </w:r>
      <w:r w:rsidR="0093201E">
        <w:tab/>
        <w:t>(90)</w:t>
      </w:r>
    </w:p>
    <w:p w:rsidR="00FD2B02" w:rsidRDefault="00FD2B02" w:rsidP="005C2127">
      <w:pPr>
        <w:spacing w:line="480" w:lineRule="auto"/>
      </w:pPr>
      <w:r>
        <w:t xml:space="preserve">Animator of Faith </w:t>
      </w:r>
      <w:r>
        <w:tab/>
      </w:r>
      <w:r>
        <w:tab/>
        <w:t>10</w:t>
      </w:r>
      <w:r>
        <w:tab/>
      </w:r>
      <w:r>
        <w:tab/>
      </w:r>
      <w:r>
        <w:tab/>
      </w:r>
      <w:r>
        <w:tab/>
        <w:t>5</w:t>
      </w:r>
      <w:r>
        <w:tab/>
      </w:r>
      <w:r>
        <w:tab/>
        <w:t>15</w:t>
      </w:r>
      <w:r>
        <w:tab/>
        <w:t>(75)</w:t>
      </w:r>
    </w:p>
    <w:p w:rsidR="00740E92" w:rsidRDefault="00740E92" w:rsidP="005C2127">
      <w:pPr>
        <w:spacing w:line="480" w:lineRule="auto"/>
      </w:pPr>
    </w:p>
    <w:p w:rsidR="00DC3BD8" w:rsidRDefault="00A6277C" w:rsidP="005C2127">
      <w:pPr>
        <w:spacing w:line="480" w:lineRule="auto"/>
      </w:pPr>
      <w:r w:rsidRPr="0093201E">
        <w:t>b.</w:t>
      </w:r>
      <w:r w:rsidR="0093201E" w:rsidRPr="0093201E">
        <w:t>)</w:t>
      </w:r>
      <w:r w:rsidR="0093201E">
        <w:t>Responses from Methodist Deacons.</w:t>
      </w:r>
    </w:p>
    <w:p w:rsidR="0093201E" w:rsidRPr="0093201E" w:rsidRDefault="0093201E" w:rsidP="005C2127">
      <w:pPr>
        <w:spacing w:line="480" w:lineRule="auto"/>
      </w:pPr>
      <w:r>
        <w:t>This table had a possible 260 responses although some respondents did not complete the entire table.</w:t>
      </w:r>
    </w:p>
    <w:p w:rsidR="0093201E" w:rsidRDefault="0093201E" w:rsidP="005C2127">
      <w:pPr>
        <w:spacing w:line="480" w:lineRule="auto"/>
      </w:pPr>
      <w:r>
        <w:t>In this sample more responses were placed in the Disagree column (16 out of 260 or 6.2%). Ten of these were a response to the descriptor Minister of the Eucharist, and four were a response to Rooted in a Place.</w:t>
      </w:r>
    </w:p>
    <w:p w:rsidR="0093201E" w:rsidRDefault="0093201E" w:rsidP="005C2127">
      <w:pPr>
        <w:spacing w:line="480" w:lineRule="auto"/>
      </w:pPr>
      <w:r>
        <w:t>However there was still a very positive response to th</w:t>
      </w:r>
      <w:r w:rsidR="00700E41">
        <w:t xml:space="preserve">e descriptors with 114 (43.8%) </w:t>
      </w:r>
      <w:r>
        <w:t xml:space="preserve">were in the Strongly Agree column and a further 72 (29.6%) </w:t>
      </w:r>
      <w:r w:rsidR="00BE5AAC">
        <w:t>i</w:t>
      </w:r>
      <w:r>
        <w:t xml:space="preserve">n the Agreed column giving </w:t>
      </w:r>
      <w:r w:rsidR="00FD2B02">
        <w:t xml:space="preserve">total of positive responses of </w:t>
      </w:r>
      <w:r>
        <w:t>186/260 (71.5%)</w:t>
      </w:r>
    </w:p>
    <w:p w:rsidR="0093201E" w:rsidRDefault="0093201E" w:rsidP="005C2127">
      <w:pPr>
        <w:spacing w:line="480" w:lineRule="auto"/>
      </w:pPr>
      <w:r>
        <w:t xml:space="preserve">While a higher percentage of responses were placed in the strongly agreed column overall the total </w:t>
      </w:r>
      <w:r w:rsidR="00700E41">
        <w:t xml:space="preserve">percentage of positive </w:t>
      </w:r>
      <w:r>
        <w:t>responses tally with those given by the ecumenical grouping of deacons.</w:t>
      </w:r>
    </w:p>
    <w:p w:rsidR="0093201E" w:rsidRDefault="0093201E" w:rsidP="005C2127">
      <w:pPr>
        <w:spacing w:line="480" w:lineRule="auto"/>
      </w:pPr>
      <w:r>
        <w:t>There is also considerable overlap in the most popular descriptors as assessed by the respondent</w:t>
      </w:r>
    </w:p>
    <w:p w:rsidR="0093201E" w:rsidRDefault="0093201E" w:rsidP="005C2127">
      <w:pPr>
        <w:spacing w:line="480" w:lineRule="auto"/>
      </w:pPr>
    </w:p>
    <w:p w:rsidR="0093201E" w:rsidRDefault="00FD2B02" w:rsidP="005C2127">
      <w:pPr>
        <w:spacing w:line="480" w:lineRule="auto"/>
      </w:pPr>
      <w:r>
        <w:tab/>
      </w:r>
      <w:r>
        <w:tab/>
      </w:r>
      <w:r>
        <w:tab/>
        <w:t>Strongly agreed</w:t>
      </w:r>
      <w:r>
        <w:tab/>
      </w:r>
      <w:r>
        <w:tab/>
      </w:r>
      <w:r>
        <w:tab/>
      </w:r>
      <w:r w:rsidR="0093201E">
        <w:t>Agreed</w:t>
      </w:r>
      <w:r w:rsidR="0093201E">
        <w:tab/>
      </w:r>
      <w:r w:rsidR="0093201E">
        <w:tab/>
      </w:r>
      <w:r w:rsidR="0093201E">
        <w:tab/>
        <w:t xml:space="preserve">Total </w:t>
      </w:r>
      <w:r w:rsidR="0093201E">
        <w:tab/>
        <w:t>(%)</w:t>
      </w:r>
    </w:p>
    <w:p w:rsidR="0093201E" w:rsidRDefault="00FD2B02" w:rsidP="005C2127">
      <w:pPr>
        <w:spacing w:line="480" w:lineRule="auto"/>
      </w:pPr>
      <w:r>
        <w:t xml:space="preserve">Enabler of Others </w:t>
      </w:r>
      <w:r>
        <w:tab/>
      </w:r>
      <w:r>
        <w:tab/>
        <w:t>10</w:t>
      </w:r>
      <w:r>
        <w:tab/>
      </w:r>
      <w:r>
        <w:tab/>
      </w:r>
      <w:r>
        <w:tab/>
      </w:r>
      <w:r w:rsidR="0093201E">
        <w:t>3</w:t>
      </w:r>
      <w:r w:rsidR="0093201E">
        <w:tab/>
      </w:r>
      <w:r w:rsidR="0093201E">
        <w:tab/>
      </w:r>
      <w:r w:rsidR="0093201E">
        <w:tab/>
        <w:t>13</w:t>
      </w:r>
      <w:r w:rsidR="0093201E">
        <w:tab/>
        <w:t>(100)</w:t>
      </w:r>
    </w:p>
    <w:p w:rsidR="0093201E" w:rsidRDefault="00FD2B02" w:rsidP="005C2127">
      <w:pPr>
        <w:spacing w:line="480" w:lineRule="auto"/>
      </w:pPr>
      <w:r>
        <w:t xml:space="preserve">One who prays </w:t>
      </w:r>
      <w:r>
        <w:tab/>
      </w:r>
      <w:r>
        <w:tab/>
      </w:r>
      <w:r>
        <w:tab/>
        <w:t>10</w:t>
      </w:r>
      <w:r>
        <w:tab/>
      </w:r>
      <w:r>
        <w:tab/>
      </w:r>
      <w:r>
        <w:tab/>
      </w:r>
      <w:r w:rsidR="0093201E">
        <w:t>2</w:t>
      </w:r>
      <w:r w:rsidR="0093201E">
        <w:tab/>
      </w:r>
      <w:r w:rsidR="0093201E">
        <w:tab/>
      </w:r>
      <w:r w:rsidR="0093201E">
        <w:tab/>
        <w:t>12</w:t>
      </w:r>
      <w:r w:rsidR="0093201E">
        <w:tab/>
      </w:r>
      <w:r w:rsidR="00F44537">
        <w:t>(92)</w:t>
      </w:r>
    </w:p>
    <w:p w:rsidR="0093201E" w:rsidRDefault="00FD2B02" w:rsidP="005C2127">
      <w:pPr>
        <w:spacing w:line="480" w:lineRule="auto"/>
      </w:pPr>
      <w:r>
        <w:t xml:space="preserve">Servant </w:t>
      </w:r>
      <w:r>
        <w:tab/>
      </w:r>
      <w:r>
        <w:tab/>
      </w:r>
      <w:r>
        <w:tab/>
        <w:t>9</w:t>
      </w:r>
      <w:r>
        <w:tab/>
      </w:r>
      <w:r>
        <w:tab/>
      </w:r>
      <w:r>
        <w:tab/>
      </w:r>
      <w:r w:rsidR="0093201E">
        <w:t>3</w:t>
      </w:r>
      <w:r w:rsidR="00F44537">
        <w:tab/>
      </w:r>
      <w:r w:rsidR="00F44537">
        <w:tab/>
      </w:r>
      <w:r w:rsidR="00F44537">
        <w:tab/>
        <w:t>12</w:t>
      </w:r>
      <w:r w:rsidR="00F44537">
        <w:tab/>
        <w:t>(92)</w:t>
      </w:r>
    </w:p>
    <w:p w:rsidR="0093201E" w:rsidRDefault="00FD2B02" w:rsidP="005C2127">
      <w:pPr>
        <w:spacing w:line="480" w:lineRule="auto"/>
      </w:pPr>
      <w:r>
        <w:t>Missionary</w:t>
      </w:r>
      <w:r>
        <w:tab/>
      </w:r>
      <w:r>
        <w:tab/>
      </w:r>
      <w:r>
        <w:tab/>
        <w:t>9</w:t>
      </w:r>
      <w:r>
        <w:tab/>
      </w:r>
      <w:r>
        <w:tab/>
      </w:r>
      <w:r>
        <w:tab/>
      </w:r>
      <w:r w:rsidR="0093201E">
        <w:t>3</w:t>
      </w:r>
      <w:r w:rsidR="00F44537">
        <w:tab/>
      </w:r>
      <w:r w:rsidR="00F44537">
        <w:tab/>
      </w:r>
      <w:r w:rsidR="00F44537">
        <w:tab/>
        <w:t>12</w:t>
      </w:r>
      <w:r w:rsidR="00F44537">
        <w:tab/>
        <w:t>(92)</w:t>
      </w:r>
    </w:p>
    <w:p w:rsidR="0093201E" w:rsidRDefault="00FD2B02" w:rsidP="005C2127">
      <w:pPr>
        <w:spacing w:line="480" w:lineRule="auto"/>
      </w:pPr>
      <w:r>
        <w:t>Boundary Dweller</w:t>
      </w:r>
      <w:r>
        <w:tab/>
      </w:r>
      <w:r>
        <w:tab/>
        <w:t>9</w:t>
      </w:r>
      <w:r>
        <w:tab/>
      </w:r>
      <w:r>
        <w:tab/>
      </w:r>
      <w:r>
        <w:tab/>
      </w:r>
      <w:r w:rsidR="0093201E">
        <w:t>3</w:t>
      </w:r>
      <w:r w:rsidR="00F44537">
        <w:tab/>
      </w:r>
      <w:r w:rsidR="00F44537">
        <w:tab/>
      </w:r>
      <w:r w:rsidR="00F44537">
        <w:tab/>
        <w:t>12</w:t>
      </w:r>
      <w:r w:rsidR="00F44537">
        <w:tab/>
        <w:t>(92)</w:t>
      </w:r>
    </w:p>
    <w:p w:rsidR="0093201E" w:rsidRDefault="0093201E" w:rsidP="005C2127">
      <w:pPr>
        <w:spacing w:line="480" w:lineRule="auto"/>
      </w:pPr>
    </w:p>
    <w:p w:rsidR="0093201E" w:rsidRDefault="00F44537" w:rsidP="005C2127">
      <w:pPr>
        <w:spacing w:line="480" w:lineRule="auto"/>
      </w:pPr>
      <w:r>
        <w:t xml:space="preserve">It is interesting that Methodist Deacons seems more positive about the role of deacon as missionary. The positive response in the ecumenical grouping </w:t>
      </w:r>
      <w:r w:rsidR="00700E41">
        <w:t xml:space="preserve">was  65% and of those just four </w:t>
      </w:r>
      <w:r>
        <w:t>responses (</w:t>
      </w:r>
      <w:r w:rsidR="00700E41">
        <w:t>2</w:t>
      </w:r>
      <w:r>
        <w:t xml:space="preserve">0%) were in the Strongly Agree column compared with 69% of the responses from Methodist deacons. The other major difference was the response to the descriptor Minister of the Eucharist – not one Methodist responder either agreed or strongly agreed with this descriptor compared with 14 or 70% of the ecumenical respondents.  Methodist respondents were also far less positive about the Rooted in a Place descriptor than their counterparts – 23% compared with 60%. These </w:t>
      </w:r>
      <w:r w:rsidR="00700E41">
        <w:t xml:space="preserve">responses </w:t>
      </w:r>
      <w:r>
        <w:t xml:space="preserve">both </w:t>
      </w:r>
      <w:r w:rsidR="00700E41">
        <w:t xml:space="preserve">seem to reflect differences </w:t>
      </w:r>
      <w:r>
        <w:t xml:space="preserve">in the ordering of the Methodist Church </w:t>
      </w:r>
      <w:r w:rsidR="00700E41">
        <w:t>and its separation of diaconal and presbyteral ministry and the circuit system rather than the parish focus.</w:t>
      </w:r>
    </w:p>
    <w:p w:rsidR="00700E41" w:rsidRDefault="00700E41" w:rsidP="005C2127">
      <w:pPr>
        <w:spacing w:line="480" w:lineRule="auto"/>
      </w:pPr>
      <w:r>
        <w:t>However it is interesting to note that 3 out of the 5 most popular descriptors overlap and 7 out of the 10 most popular descriptors overlap. (see Table</w:t>
      </w:r>
      <w:r w:rsidR="00126A2D">
        <w:t xml:space="preserve">1 </w:t>
      </w:r>
      <w:r>
        <w:t xml:space="preserve">, Appendix  </w:t>
      </w:r>
      <w:r w:rsidR="00126A2D">
        <w:t>4</w:t>
      </w:r>
      <w:r>
        <w:t>)</w:t>
      </w:r>
    </w:p>
    <w:p w:rsidR="00700E41" w:rsidRDefault="00B3579C" w:rsidP="005C2127">
      <w:pPr>
        <w:spacing w:line="480" w:lineRule="auto"/>
      </w:pPr>
      <w:r>
        <w:t>Those seven descriptors are Enabler of Others, One who Prays, Relationship Former, Servant, Connector, Spokesperson/Messenger and Interpreter.</w:t>
      </w:r>
    </w:p>
    <w:p w:rsidR="00F44537" w:rsidRDefault="00F44537" w:rsidP="005C2127">
      <w:pPr>
        <w:spacing w:line="480" w:lineRule="auto"/>
      </w:pPr>
    </w:p>
    <w:p w:rsidR="00F44537" w:rsidRDefault="00700E41" w:rsidP="005C2127">
      <w:pPr>
        <w:pStyle w:val="Heading2"/>
        <w:spacing w:line="480" w:lineRule="auto"/>
        <w:rPr>
          <w:b w:val="0"/>
        </w:rPr>
      </w:pPr>
      <w:bookmarkStart w:id="14" w:name="_Toc428110556"/>
      <w:r>
        <w:rPr>
          <w:b w:val="0"/>
        </w:rPr>
        <w:t>2. Could these descriptors be applied to the facets of ministry in a multi-faith context</w:t>
      </w:r>
      <w:r w:rsidR="00B3579C">
        <w:rPr>
          <w:b w:val="0"/>
        </w:rPr>
        <w:t>?</w:t>
      </w:r>
      <w:bookmarkEnd w:id="14"/>
    </w:p>
    <w:p w:rsidR="00B3579C" w:rsidRDefault="00B3579C" w:rsidP="005C2127">
      <w:pPr>
        <w:spacing w:line="480" w:lineRule="auto"/>
      </w:pPr>
      <w:r>
        <w:t>This section of data analysis focuses on the responses from the ecumenical group of deacons, priests and Bishops who minister in a multi-faith context. This group of 20 people can all be said to have lived understanding of both diaconal ministry – whether or not that is described as permanent, transitional or distinctive – and ministry in a multi-faith context.</w:t>
      </w:r>
    </w:p>
    <w:p w:rsidR="00BE5AAC" w:rsidRDefault="00BE5AAC" w:rsidP="005C2127">
      <w:pPr>
        <w:spacing w:line="480" w:lineRule="auto"/>
      </w:pPr>
      <w:r>
        <w:t xml:space="preserve">Once again the majority (71.75%) of responses to the descriptors were positive in this new context with a higher proportion of responses being in the Strongly Agreed column (42.5%) </w:t>
      </w:r>
    </w:p>
    <w:p w:rsidR="00BE5AAC" w:rsidRDefault="00BE5AAC" w:rsidP="005C2127">
      <w:pPr>
        <w:spacing w:line="480" w:lineRule="auto"/>
      </w:pPr>
      <w:r>
        <w:t>Only 4.5% (18) of responses to the descriptors were in the Disagreed, a tiny increase from the previous table on the Deacon descriptors. Again the least popular descriptor was the Minister of the Eucharist which elicited 5 responses in the disagree column.  Other descriptors that received 2 responses in the disagree column were Rooted in a Place, Herald/Proclaimer, Missionary and Pioneer.  It seems unsurprising, given issues around prosletysation and conversion among people of different faiths in some church traditions that there is more caution around those descriptors that relate to missionary-type activity.</w:t>
      </w:r>
    </w:p>
    <w:p w:rsidR="00BE5AAC" w:rsidRDefault="00BE5AAC" w:rsidP="005C2127">
      <w:pPr>
        <w:spacing w:line="480" w:lineRule="auto"/>
      </w:pPr>
      <w:r>
        <w:t>The five most popular descriptors are listed below.</w:t>
      </w:r>
    </w:p>
    <w:p w:rsidR="00BE5AAC" w:rsidRDefault="00BE5AAC" w:rsidP="005C2127">
      <w:pPr>
        <w:spacing w:line="480" w:lineRule="auto"/>
      </w:pPr>
      <w:r>
        <w:tab/>
      </w:r>
      <w:r>
        <w:tab/>
      </w:r>
      <w:r>
        <w:tab/>
        <w:t>Strongly agreed</w:t>
      </w:r>
      <w:r>
        <w:tab/>
      </w:r>
      <w:r>
        <w:tab/>
      </w:r>
      <w:r>
        <w:tab/>
        <w:t>Agreed</w:t>
      </w:r>
    </w:p>
    <w:p w:rsidR="00BE5AAC" w:rsidRDefault="00BE5AAC" w:rsidP="005C2127">
      <w:pPr>
        <w:spacing w:line="480" w:lineRule="auto"/>
      </w:pPr>
      <w:r>
        <w:t>Relationship Former</w:t>
      </w:r>
      <w:r>
        <w:tab/>
      </w:r>
      <w:r>
        <w:tab/>
        <w:t xml:space="preserve"> 18</w:t>
      </w:r>
      <w:r>
        <w:tab/>
      </w:r>
      <w:r>
        <w:tab/>
      </w:r>
      <w:r>
        <w:tab/>
      </w:r>
      <w:r>
        <w:tab/>
        <w:t>2</w:t>
      </w:r>
    </w:p>
    <w:p w:rsidR="00BE5AAC" w:rsidRDefault="00BE5AAC" w:rsidP="005C2127">
      <w:pPr>
        <w:spacing w:line="480" w:lineRule="auto"/>
      </w:pPr>
      <w:r>
        <w:t>One who prays</w:t>
      </w:r>
      <w:r>
        <w:tab/>
      </w:r>
      <w:r>
        <w:tab/>
      </w:r>
      <w:r>
        <w:tab/>
        <w:t xml:space="preserve"> 17</w:t>
      </w:r>
      <w:r>
        <w:tab/>
      </w:r>
      <w:r>
        <w:tab/>
      </w:r>
      <w:r>
        <w:tab/>
      </w:r>
      <w:r>
        <w:tab/>
        <w:t>2</w:t>
      </w:r>
    </w:p>
    <w:p w:rsidR="00BE5AAC" w:rsidRDefault="00BE5AAC" w:rsidP="005C2127">
      <w:pPr>
        <w:spacing w:line="480" w:lineRule="auto"/>
      </w:pPr>
      <w:r>
        <w:t>Connector</w:t>
      </w:r>
      <w:r>
        <w:tab/>
      </w:r>
      <w:r>
        <w:tab/>
      </w:r>
      <w:r>
        <w:tab/>
        <w:t>15</w:t>
      </w:r>
      <w:r>
        <w:tab/>
      </w:r>
      <w:r>
        <w:tab/>
      </w:r>
      <w:r>
        <w:tab/>
      </w:r>
      <w:r>
        <w:tab/>
        <w:t>3</w:t>
      </w:r>
    </w:p>
    <w:p w:rsidR="00BE5AAC" w:rsidRDefault="00BE5AAC" w:rsidP="005C2127">
      <w:pPr>
        <w:spacing w:line="480" w:lineRule="auto"/>
      </w:pPr>
      <w:r>
        <w:t xml:space="preserve">Enabler of Others </w:t>
      </w:r>
      <w:r>
        <w:tab/>
      </w:r>
      <w:r>
        <w:tab/>
        <w:t>11</w:t>
      </w:r>
      <w:r>
        <w:tab/>
      </w:r>
      <w:r>
        <w:tab/>
      </w:r>
      <w:r>
        <w:tab/>
      </w:r>
      <w:r>
        <w:tab/>
        <w:t>9</w:t>
      </w:r>
    </w:p>
    <w:p w:rsidR="00BE5AAC" w:rsidRDefault="00BE5AAC" w:rsidP="005C2127">
      <w:pPr>
        <w:spacing w:line="480" w:lineRule="auto"/>
      </w:pPr>
      <w:r>
        <w:t>Interpreter</w:t>
      </w:r>
      <w:r>
        <w:tab/>
      </w:r>
      <w:r>
        <w:tab/>
      </w:r>
      <w:r>
        <w:tab/>
        <w:t>11</w:t>
      </w:r>
      <w:r>
        <w:tab/>
      </w:r>
      <w:r>
        <w:tab/>
      </w:r>
      <w:r>
        <w:tab/>
      </w:r>
      <w:r>
        <w:tab/>
        <w:t>6</w:t>
      </w:r>
    </w:p>
    <w:p w:rsidR="00BE5AAC" w:rsidRDefault="00BE5AAC" w:rsidP="005C2127">
      <w:pPr>
        <w:spacing w:line="480" w:lineRule="auto"/>
      </w:pPr>
    </w:p>
    <w:p w:rsidR="00BE5AAC" w:rsidRDefault="00B212C8" w:rsidP="005C2127">
      <w:pPr>
        <w:spacing w:after="0" w:line="480" w:lineRule="auto"/>
        <w:rPr>
          <w:rFonts w:ascii="Calibri" w:eastAsia="Times New Roman" w:hAnsi="Calibri" w:cs="Times New Roman"/>
          <w:color w:val="000000"/>
        </w:rPr>
      </w:pPr>
      <w:r>
        <w:t xml:space="preserve">It is interesting to note how many of these key descriptors are echoed in the findings for deacons. </w:t>
      </w:r>
      <w:r w:rsidR="00BE5AAC">
        <w:t xml:space="preserve">Eight out of the 10 most popular descriptors given by the ecumenical group overlap with each other. They are: </w:t>
      </w:r>
      <w:r w:rsidR="00BE5AAC" w:rsidRPr="00BE5AAC">
        <w:rPr>
          <w:rFonts w:ascii="Calibri" w:eastAsia="Times New Roman" w:hAnsi="Calibri" w:cs="Times New Roman"/>
          <w:color w:val="000000"/>
        </w:rPr>
        <w:t>Enabler of Others</w:t>
      </w:r>
      <w:r w:rsidR="00BE5AAC">
        <w:rPr>
          <w:rFonts w:ascii="Calibri" w:eastAsia="Times New Roman" w:hAnsi="Calibri" w:cs="Times New Roman"/>
          <w:color w:val="000000"/>
        </w:rPr>
        <w:t xml:space="preserve">, </w:t>
      </w:r>
      <w:r w:rsidR="00BE5AAC" w:rsidRPr="00BE5AAC">
        <w:rPr>
          <w:rFonts w:ascii="Calibri" w:eastAsia="Times New Roman" w:hAnsi="Calibri" w:cs="Times New Roman"/>
          <w:color w:val="000000"/>
        </w:rPr>
        <w:t>Relationship former</w:t>
      </w:r>
      <w:r w:rsidR="00BE5AAC">
        <w:rPr>
          <w:rFonts w:ascii="Calibri" w:eastAsia="Times New Roman" w:hAnsi="Calibri" w:cs="Times New Roman"/>
          <w:color w:val="000000"/>
        </w:rPr>
        <w:t xml:space="preserve">, </w:t>
      </w:r>
      <w:r w:rsidR="00BE5AAC" w:rsidRPr="00BE5AAC">
        <w:rPr>
          <w:rFonts w:ascii="Calibri" w:eastAsia="Times New Roman" w:hAnsi="Calibri" w:cs="Times New Roman"/>
          <w:color w:val="000000"/>
        </w:rPr>
        <w:t>One Who Prays</w:t>
      </w:r>
      <w:r w:rsidR="00BE5AAC">
        <w:rPr>
          <w:rFonts w:ascii="Calibri" w:eastAsia="Times New Roman" w:hAnsi="Calibri" w:cs="Times New Roman"/>
          <w:color w:val="000000"/>
        </w:rPr>
        <w:t xml:space="preserve">, </w:t>
      </w:r>
      <w:r w:rsidR="00BE5AAC" w:rsidRPr="00BE5AAC">
        <w:rPr>
          <w:rFonts w:ascii="Calibri" w:eastAsia="Times New Roman" w:hAnsi="Calibri" w:cs="Times New Roman"/>
          <w:color w:val="000000"/>
        </w:rPr>
        <w:t>Connector</w:t>
      </w:r>
      <w:r w:rsidR="00BE5AAC">
        <w:rPr>
          <w:rFonts w:ascii="Calibri" w:eastAsia="Times New Roman" w:hAnsi="Calibri" w:cs="Times New Roman"/>
          <w:color w:val="000000"/>
        </w:rPr>
        <w:t xml:space="preserve">, </w:t>
      </w:r>
      <w:r w:rsidR="00BE5AAC" w:rsidRPr="00BE5AAC">
        <w:rPr>
          <w:rFonts w:ascii="Calibri" w:eastAsia="Times New Roman" w:hAnsi="Calibri" w:cs="Times New Roman"/>
          <w:color w:val="000000"/>
        </w:rPr>
        <w:t>Interpreter</w:t>
      </w:r>
      <w:r w:rsidR="00BE5AAC">
        <w:rPr>
          <w:rFonts w:ascii="Calibri" w:eastAsia="Times New Roman" w:hAnsi="Calibri" w:cs="Times New Roman"/>
          <w:color w:val="000000"/>
        </w:rPr>
        <w:t xml:space="preserve">, </w:t>
      </w:r>
      <w:r w:rsidR="00BE5AAC" w:rsidRPr="00BE5AAC">
        <w:rPr>
          <w:rFonts w:ascii="Calibri" w:eastAsia="Times New Roman" w:hAnsi="Calibri" w:cs="Times New Roman"/>
          <w:color w:val="000000"/>
        </w:rPr>
        <w:t>Mediator/Reconciler</w:t>
      </w:r>
      <w:r w:rsidR="0041721D">
        <w:rPr>
          <w:rFonts w:ascii="Calibri" w:eastAsia="Times New Roman" w:hAnsi="Calibri" w:cs="Times New Roman"/>
          <w:color w:val="000000"/>
        </w:rPr>
        <w:t>, S</w:t>
      </w:r>
      <w:r w:rsidR="00BE5AAC" w:rsidRPr="00BE5AAC">
        <w:rPr>
          <w:rFonts w:ascii="Calibri" w:eastAsia="Times New Roman" w:hAnsi="Calibri" w:cs="Times New Roman"/>
          <w:color w:val="000000"/>
        </w:rPr>
        <w:t>pokesperson/Messenger</w:t>
      </w:r>
      <w:r w:rsidR="00BE5AAC">
        <w:rPr>
          <w:rFonts w:ascii="Calibri" w:eastAsia="Times New Roman" w:hAnsi="Calibri" w:cs="Times New Roman"/>
          <w:color w:val="000000"/>
        </w:rPr>
        <w:t xml:space="preserve">, and </w:t>
      </w:r>
      <w:r w:rsidR="00BE5AAC" w:rsidRPr="00BE5AAC">
        <w:rPr>
          <w:rFonts w:ascii="Calibri" w:eastAsia="Times New Roman" w:hAnsi="Calibri" w:cs="Times New Roman"/>
          <w:color w:val="000000"/>
        </w:rPr>
        <w:t>Animator of faith</w:t>
      </w:r>
      <w:r w:rsidR="00BE5AAC">
        <w:rPr>
          <w:rFonts w:ascii="Calibri" w:eastAsia="Times New Roman" w:hAnsi="Calibri" w:cs="Times New Roman"/>
          <w:color w:val="000000"/>
        </w:rPr>
        <w:t>.</w:t>
      </w:r>
      <w:r w:rsidR="0041721D">
        <w:rPr>
          <w:rFonts w:ascii="Calibri" w:eastAsia="Times New Roman" w:hAnsi="Calibri" w:cs="Times New Roman"/>
          <w:color w:val="000000"/>
        </w:rPr>
        <w:t xml:space="preserve"> The ones which differ are Boundary Dweller and Pioneer.</w:t>
      </w:r>
      <w:r w:rsidR="002D1CE7">
        <w:rPr>
          <w:rFonts w:ascii="Calibri" w:eastAsia="Times New Roman" w:hAnsi="Calibri" w:cs="Times New Roman"/>
          <w:color w:val="000000"/>
        </w:rPr>
        <w:t xml:space="preserve">  </w:t>
      </w:r>
    </w:p>
    <w:p w:rsidR="00FD2B02" w:rsidRDefault="00FD2B02" w:rsidP="005C2127">
      <w:pPr>
        <w:spacing w:after="0" w:line="480" w:lineRule="auto"/>
        <w:rPr>
          <w:rFonts w:ascii="Calibri" w:eastAsia="Times New Roman" w:hAnsi="Calibri" w:cs="Times New Roman"/>
          <w:color w:val="000000"/>
        </w:rPr>
      </w:pPr>
    </w:p>
    <w:p w:rsidR="0093201E" w:rsidRDefault="0041721D" w:rsidP="005C2127">
      <w:pPr>
        <w:spacing w:line="480" w:lineRule="auto"/>
      </w:pPr>
      <w:r>
        <w:t>The descriptor</w:t>
      </w:r>
      <w:r w:rsidR="00FD2B02">
        <w:t>s</w:t>
      </w:r>
      <w:r>
        <w:t xml:space="preserve"> </w:t>
      </w:r>
      <w:r w:rsidR="0093201E">
        <w:t xml:space="preserve">Enabler of </w:t>
      </w:r>
      <w:r>
        <w:t>O</w:t>
      </w:r>
      <w:r w:rsidR="0093201E">
        <w:t xml:space="preserve">thers and </w:t>
      </w:r>
      <w:r>
        <w:t>O</w:t>
      </w:r>
      <w:r w:rsidR="0093201E">
        <w:t xml:space="preserve">ne who </w:t>
      </w:r>
      <w:r>
        <w:t>P</w:t>
      </w:r>
      <w:r w:rsidR="0093201E">
        <w:t>rays have been consistently high in all three responses. Servant has been a popular descriptor for deacons but less popular as a descriptor of inter-faith work.</w:t>
      </w:r>
      <w:r>
        <w:t xml:space="preserve"> It would have been interesting to see if these were generic terms to describe ministry o</w:t>
      </w:r>
      <w:r w:rsidR="00FD2B02">
        <w:t>r</w:t>
      </w:r>
      <w:r>
        <w:t xml:space="preserve"> whether descriptors for priests and bishops would be substantially different.</w:t>
      </w:r>
      <w:r w:rsidR="00FD2B02">
        <w:t xml:space="preserve"> This would be an interesting area for further research.</w:t>
      </w:r>
    </w:p>
    <w:p w:rsidR="00A015CB" w:rsidRDefault="00A015CB" w:rsidP="005C2127">
      <w:pPr>
        <w:spacing w:line="480" w:lineRule="auto"/>
      </w:pPr>
      <w:r>
        <w:t xml:space="preserve">Looking at the two tables comparatively respondents placed an average of 9.75 out of 20 descriptors in the same position on the table, this is just under half. The two Lutheran deacons place an average of 14.5 out of 20 descriptors in the same place, while Anglican transitional deacons and Bishops placed on average just 8 descriptors out of 20 in the same place. </w:t>
      </w:r>
    </w:p>
    <w:p w:rsidR="002D1CE7" w:rsidRDefault="002D1CE7" w:rsidP="005C2127">
      <w:pPr>
        <w:spacing w:line="480" w:lineRule="auto"/>
      </w:pPr>
      <w:r>
        <w:t>However, a clear narrative emerges from the tables and the statistics that there is a large overlap between the</w:t>
      </w:r>
      <w:r w:rsidR="00FD2B02">
        <w:t xml:space="preserve"> understandings of</w:t>
      </w:r>
      <w:r>
        <w:t xml:space="preserve"> ministry of a deacon and ministry in an interfaith context. </w:t>
      </w:r>
      <w:r w:rsidR="00A015CB">
        <w:t xml:space="preserve"> </w:t>
      </w:r>
      <w:r w:rsidR="00FD2B02">
        <w:t xml:space="preserve">These are both </w:t>
      </w:r>
      <w:r w:rsidR="00A015CB">
        <w:t>ministr</w:t>
      </w:r>
      <w:r w:rsidR="00FD2B02">
        <w:t>ies</w:t>
      </w:r>
      <w:r w:rsidR="00A015CB">
        <w:t xml:space="preserve"> that </w:t>
      </w:r>
      <w:r w:rsidR="00FD2B02">
        <w:t>are</w:t>
      </w:r>
      <w:r w:rsidR="00A015CB">
        <w:t xml:space="preserve"> orientated to the other and seek relationship, reconciliation, understanding and growth in faith. </w:t>
      </w:r>
      <w:r w:rsidR="008A7E95">
        <w:t>This overlap could be particularly significant if the Church of England were to consider both investing in a renewed diaconate and new patterns of ministry in a multi-faith context.</w:t>
      </w:r>
    </w:p>
    <w:p w:rsidR="0093201E" w:rsidRDefault="00A015CB" w:rsidP="005C2127">
      <w:pPr>
        <w:pStyle w:val="Heading3"/>
        <w:spacing w:line="480" w:lineRule="auto"/>
        <w:rPr>
          <w:b w:val="0"/>
        </w:rPr>
      </w:pPr>
      <w:bookmarkStart w:id="15" w:name="_Toc428110557"/>
      <w:r>
        <w:rPr>
          <w:b w:val="0"/>
        </w:rPr>
        <w:t>3. Additional Descriptors for Deacons and Ministry in a Multi-Faith Context</w:t>
      </w:r>
      <w:bookmarkEnd w:id="15"/>
    </w:p>
    <w:p w:rsidR="00140693" w:rsidRDefault="00140693" w:rsidP="005C2127">
      <w:pPr>
        <w:spacing w:line="480" w:lineRule="auto"/>
      </w:pPr>
      <w:r>
        <w:t>This category of free text cannot be analysed in terms of numbers, correlations and statistics as the tables which asked simply for a response to given words.</w:t>
      </w:r>
    </w:p>
    <w:p w:rsidR="00B52DFF" w:rsidRDefault="000E52E0" w:rsidP="005C2127">
      <w:pPr>
        <w:spacing w:line="480" w:lineRule="auto"/>
      </w:pPr>
      <w:r>
        <w:t>However</w:t>
      </w:r>
      <w:r w:rsidR="00140693">
        <w:t xml:space="preserve"> the table</w:t>
      </w:r>
      <w:r>
        <w:t xml:space="preserve"> 2</w:t>
      </w:r>
      <w:r w:rsidR="00140693">
        <w:t xml:space="preserve"> </w:t>
      </w:r>
      <w:r w:rsidR="005C2DB3">
        <w:t xml:space="preserve">at </w:t>
      </w:r>
      <w:r w:rsidR="00126A2D">
        <w:t>A</w:t>
      </w:r>
      <w:r w:rsidR="005C2DB3">
        <w:t xml:space="preserve">ppendix </w:t>
      </w:r>
      <w:r>
        <w:t>4</w:t>
      </w:r>
      <w:r w:rsidR="00126A2D">
        <w:t xml:space="preserve"> </w:t>
      </w:r>
      <w:r w:rsidR="00140693">
        <w:t>has attempted to collate and compare the words given when respondents were asked to describe either the skills/attributes for ministry as a deacon or ministry in a multi-faith context.</w:t>
      </w:r>
      <w:r w:rsidR="00B52DFF">
        <w:t xml:space="preserve"> As the table contains so many synonyms </w:t>
      </w:r>
      <w:r w:rsidR="005C2DB3">
        <w:t xml:space="preserve">I have grouped them to express </w:t>
      </w:r>
      <w:r w:rsidR="00126A2D">
        <w:t>reflect the themes contained in the most popular 8 descriptors identified in Appendix 4.</w:t>
      </w:r>
    </w:p>
    <w:p w:rsidR="00126A2D" w:rsidRDefault="00140693" w:rsidP="005C2127">
      <w:pPr>
        <w:spacing w:line="480" w:lineRule="auto"/>
      </w:pPr>
      <w:r>
        <w:t xml:space="preserve"> </w:t>
      </w:r>
      <w:r w:rsidR="007A355E">
        <w:t xml:space="preserve">These additional descriptors </w:t>
      </w:r>
      <w:r w:rsidR="005C2DB3">
        <w:t xml:space="preserve">mainly </w:t>
      </w:r>
      <w:r w:rsidR="007A355E">
        <w:t xml:space="preserve">relate to the </w:t>
      </w:r>
      <w:r w:rsidR="007A355E" w:rsidRPr="007A355E">
        <w:rPr>
          <w:i/>
        </w:rPr>
        <w:t>Primary Nature</w:t>
      </w:r>
      <w:r w:rsidR="007A355E">
        <w:t xml:space="preserve"> of a deacon as identified in the literature review with the particular emphasis on spirituality, inter-personal skills and the sacramental nature of the role as a sign to the world</w:t>
      </w:r>
      <w:r w:rsidR="00126A2D">
        <w:t>.</w:t>
      </w:r>
    </w:p>
    <w:p w:rsidR="00072A20" w:rsidRDefault="009071A8" w:rsidP="005C2127">
      <w:pPr>
        <w:spacing w:line="480" w:lineRule="auto"/>
      </w:pPr>
      <w:r>
        <w:t xml:space="preserve">I have put in italic all the descriptors that describe what the minister </w:t>
      </w:r>
      <w:r w:rsidRPr="009071A8">
        <w:rPr>
          <w:i/>
        </w:rPr>
        <w:t>is</w:t>
      </w:r>
      <w:r>
        <w:t xml:space="preserve"> rather than what the minister </w:t>
      </w:r>
      <w:r w:rsidRPr="009071A8">
        <w:rPr>
          <w:i/>
        </w:rPr>
        <w:t>does</w:t>
      </w:r>
      <w:r>
        <w:rPr>
          <w:i/>
        </w:rPr>
        <w:t xml:space="preserve">. </w:t>
      </w:r>
      <w:r>
        <w:t>It is interesting to note that these are the large majority of the descriptors suggesting that the ministry as a deacon and ministry in a multi-faith context is more about who the person is rather than what it is they do. This raises important questions for the training, formation and selection of ordinands.</w:t>
      </w:r>
    </w:p>
    <w:p w:rsidR="007A355E" w:rsidRPr="00072A20" w:rsidRDefault="00072A20" w:rsidP="005C2127">
      <w:pPr>
        <w:pStyle w:val="Heading2"/>
        <w:spacing w:line="480" w:lineRule="auto"/>
      </w:pPr>
      <w:bookmarkStart w:id="16" w:name="_Toc428110558"/>
      <w:r>
        <w:t xml:space="preserve">4. </w:t>
      </w:r>
      <w:r w:rsidR="007A355E" w:rsidRPr="00072A20">
        <w:t>Distinctiveness in diaconal and multi-faith ministry</w:t>
      </w:r>
      <w:bookmarkEnd w:id="16"/>
    </w:p>
    <w:p w:rsidR="007A355E" w:rsidRDefault="007A355E" w:rsidP="005C2127">
      <w:pPr>
        <w:spacing w:line="480" w:lineRule="auto"/>
      </w:pPr>
      <w:r>
        <w:t>In order to analyse the responses to the three questions on the questionnaire which aimed to draw out the distinctiveness of diaconal ministry, the role of a deacon in a multi-faith context and the possibilities for a distinctive role for a deacon in a multi-faith context I have chosen to focus on those respondents who have remained as deacons rather than those for whom diaconate is one dimension of their ministry.  Several responses from those people revealed how difficult it was for them to separate in their ministry what is diacona</w:t>
      </w:r>
      <w:r w:rsidR="00FD2553">
        <w:t>l</w:t>
      </w:r>
      <w:r>
        <w:t>, what is priestly and in one case what is episcopal.</w:t>
      </w:r>
    </w:p>
    <w:p w:rsidR="007A355E" w:rsidRDefault="007A355E" w:rsidP="005C2127">
      <w:pPr>
        <w:spacing w:line="480" w:lineRule="auto"/>
      </w:pPr>
      <w:r>
        <w:t>The responses from deacons of three denominations to the question ‘What do you think makes your diaconal ministry distinctive from other ministries?’ are listed below.</w:t>
      </w:r>
    </w:p>
    <w:p w:rsidR="007A355E" w:rsidRPr="007A355E" w:rsidRDefault="007A355E" w:rsidP="005C2127">
      <w:pPr>
        <w:spacing w:line="480" w:lineRule="auto"/>
        <w:rPr>
          <w:b/>
        </w:rPr>
      </w:pPr>
      <w:r w:rsidRPr="007A355E">
        <w:rPr>
          <w:b/>
        </w:rPr>
        <w:t>Anglican Deacons</w:t>
      </w:r>
    </w:p>
    <w:p w:rsidR="007A355E" w:rsidRPr="007F4264" w:rsidRDefault="007A355E" w:rsidP="005C2127">
      <w:pPr>
        <w:spacing w:line="480" w:lineRule="auto"/>
        <w:rPr>
          <w:i/>
        </w:rPr>
      </w:pPr>
      <w:r w:rsidRPr="007F4264">
        <w:rPr>
          <w:i/>
        </w:rPr>
        <w:t xml:space="preserve">The practical demonstration of needing to work with others </w:t>
      </w:r>
      <w:r w:rsidRPr="007F4264">
        <w:rPr>
          <w:i/>
        </w:rPr>
        <w:br/>
        <w:t xml:space="preserve">Working with and for communities in a specialised role while remaining rooted in the corporate life of a parish church </w:t>
      </w:r>
      <w:r w:rsidRPr="007F4264">
        <w:rPr>
          <w:i/>
        </w:rPr>
        <w:br/>
        <w:t xml:space="preserve">International and ecumenical, working from community to church rather than from church to community </w:t>
      </w:r>
      <w:r w:rsidRPr="007F4264">
        <w:rPr>
          <w:i/>
        </w:rPr>
        <w:br/>
        <w:t>Emphasis on pastoral ministry and working in the community. Engaging in God’s mission in reaching out to others. God’s story is in both Church and the community it serves.</w:t>
      </w:r>
    </w:p>
    <w:p w:rsidR="007A355E" w:rsidRPr="007A355E" w:rsidRDefault="007A355E" w:rsidP="005C2127">
      <w:pPr>
        <w:spacing w:line="480" w:lineRule="auto"/>
        <w:rPr>
          <w:b/>
        </w:rPr>
      </w:pPr>
      <w:r w:rsidRPr="007A355E">
        <w:rPr>
          <w:b/>
        </w:rPr>
        <w:t>Lutheran Deacons</w:t>
      </w:r>
    </w:p>
    <w:p w:rsidR="007A355E" w:rsidRPr="007F4264" w:rsidRDefault="007A355E" w:rsidP="005C2127">
      <w:pPr>
        <w:spacing w:line="480" w:lineRule="auto"/>
        <w:rPr>
          <w:i/>
        </w:rPr>
      </w:pPr>
      <w:r w:rsidRPr="007F4264">
        <w:rPr>
          <w:i/>
        </w:rPr>
        <w:t xml:space="preserve">Being Christ in the Body – Christ in action among people </w:t>
      </w:r>
      <w:r w:rsidRPr="007F4264">
        <w:rPr>
          <w:i/>
        </w:rPr>
        <w:br/>
        <w:t xml:space="preserve">Combination of church ministry and social work </w:t>
      </w:r>
    </w:p>
    <w:p w:rsidR="007A355E" w:rsidRPr="007F4264" w:rsidRDefault="007A355E" w:rsidP="005C2127">
      <w:pPr>
        <w:spacing w:line="480" w:lineRule="auto"/>
        <w:rPr>
          <w:i/>
        </w:rPr>
      </w:pPr>
      <w:r w:rsidRPr="007A355E">
        <w:rPr>
          <w:b/>
        </w:rPr>
        <w:t>Catholic Deacons</w:t>
      </w:r>
      <w:r>
        <w:br/>
      </w:r>
      <w:r w:rsidRPr="007F4264">
        <w:rPr>
          <w:i/>
        </w:rPr>
        <w:t xml:space="preserve">A public commitment to being a Christian in the wider world </w:t>
      </w:r>
      <w:r w:rsidRPr="007F4264">
        <w:rPr>
          <w:i/>
        </w:rPr>
        <w:br/>
        <w:t xml:space="preserve">A ministry of service within and outside the church rooted in the Bible (Acts of the Apostles </w:t>
      </w:r>
    </w:p>
    <w:p w:rsidR="00140693" w:rsidRDefault="007A355E" w:rsidP="005C2127">
      <w:pPr>
        <w:spacing w:line="480" w:lineRule="auto"/>
      </w:pPr>
      <w:r>
        <w:t xml:space="preserve">These answers reflect the public representative role of the deacon coupled with the essential dual positioning inside and outside the church. </w:t>
      </w:r>
    </w:p>
    <w:p w:rsidR="007A355E" w:rsidRDefault="007A355E" w:rsidP="005C2127">
      <w:pPr>
        <w:spacing w:line="480" w:lineRule="auto"/>
      </w:pPr>
      <w:r>
        <w:t>The answers to the question ‘How would you describe the role of a deacon in a multi-faith context?’ are listed below.</w:t>
      </w:r>
    </w:p>
    <w:p w:rsidR="007A355E" w:rsidRPr="007F4264" w:rsidRDefault="007A355E" w:rsidP="005C2127">
      <w:pPr>
        <w:spacing w:line="480" w:lineRule="auto"/>
        <w:rPr>
          <w:i/>
        </w:rPr>
      </w:pPr>
      <w:r w:rsidRPr="007A355E">
        <w:rPr>
          <w:b/>
        </w:rPr>
        <w:t>Anglican Deacon</w:t>
      </w:r>
      <w:r>
        <w:br/>
      </w:r>
      <w:r w:rsidRPr="007F4264">
        <w:rPr>
          <w:i/>
        </w:rPr>
        <w:t>A witness to the power of faith in people’s lives – a co-worker in the proclamation of the Gospel</w:t>
      </w:r>
      <w:r w:rsidRPr="007F4264">
        <w:rPr>
          <w:i/>
        </w:rPr>
        <w:br/>
        <w:t>Welcoming and enabling belonging</w:t>
      </w:r>
      <w:r w:rsidRPr="007F4264">
        <w:rPr>
          <w:i/>
        </w:rPr>
        <w:br/>
        <w:t>One who can make connections between faith and work in community</w:t>
      </w:r>
      <w:r w:rsidRPr="007F4264">
        <w:rPr>
          <w:i/>
        </w:rPr>
        <w:br/>
        <w:t>Same as in any context</w:t>
      </w:r>
    </w:p>
    <w:p w:rsidR="007A355E" w:rsidRPr="007F4264" w:rsidRDefault="007A355E" w:rsidP="005C2127">
      <w:pPr>
        <w:spacing w:line="480" w:lineRule="auto"/>
        <w:rPr>
          <w:i/>
        </w:rPr>
      </w:pPr>
      <w:r w:rsidRPr="007A355E">
        <w:rPr>
          <w:b/>
        </w:rPr>
        <w:t>Lutheran Deacon</w:t>
      </w:r>
      <w:r>
        <w:br/>
      </w:r>
      <w:r w:rsidRPr="007F4264">
        <w:rPr>
          <w:i/>
        </w:rPr>
        <w:t>Look for what unites</w:t>
      </w:r>
      <w:r w:rsidRPr="007F4264">
        <w:rPr>
          <w:i/>
        </w:rPr>
        <w:br/>
        <w:t>Someone who listens – determined by who you meet</w:t>
      </w:r>
    </w:p>
    <w:p w:rsidR="007A355E" w:rsidRPr="007F4264" w:rsidRDefault="007A355E" w:rsidP="005C2127">
      <w:pPr>
        <w:spacing w:line="480" w:lineRule="auto"/>
        <w:rPr>
          <w:i/>
        </w:rPr>
      </w:pPr>
      <w:r w:rsidRPr="007A355E">
        <w:rPr>
          <w:b/>
        </w:rPr>
        <w:t>Catholic Deacon</w:t>
      </w:r>
      <w:r>
        <w:t xml:space="preserve"> </w:t>
      </w:r>
      <w:r>
        <w:br/>
      </w:r>
      <w:r w:rsidRPr="007F4264">
        <w:rPr>
          <w:i/>
        </w:rPr>
        <w:t>Service –irrespective of context</w:t>
      </w:r>
      <w:r w:rsidRPr="007F4264">
        <w:rPr>
          <w:i/>
        </w:rPr>
        <w:br/>
        <w:t>A sign of the Church</w:t>
      </w:r>
      <w:r w:rsidRPr="007F4264">
        <w:rPr>
          <w:i/>
        </w:rPr>
        <w:br/>
      </w:r>
      <w:r>
        <w:br/>
        <w:t xml:space="preserve">These answers reflect again the core roles of deacons but also emphasises the understanding that the context in which the deacon is working does not substantially shape their ministry. However half the respondents felt there was a distinctive role for a deacon in a multi-faith context, four were unsure and six felt there was not. Those that did not see a distinctive role generally felt that a deacon could operate in any context while two respondents emphasised that ministry in a multi-faith context was for everyone. </w:t>
      </w:r>
      <w:r>
        <w:br/>
      </w:r>
      <w:r>
        <w:br/>
        <w:t>The answers to the question, ‘Do you think there is a distinctive role for a deacon in a multi-faith context?’ are listed below.</w:t>
      </w:r>
      <w:r>
        <w:br/>
      </w:r>
      <w:r>
        <w:rPr>
          <w:b/>
        </w:rPr>
        <w:br/>
      </w:r>
      <w:r w:rsidRPr="007A355E">
        <w:rPr>
          <w:b/>
        </w:rPr>
        <w:t>Anglican Deacons</w:t>
      </w:r>
      <w:r>
        <w:br/>
      </w:r>
      <w:r w:rsidRPr="007F4264">
        <w:rPr>
          <w:i/>
        </w:rPr>
        <w:t>Yes – definitely, a deacon can welcome and build relationships with others. As one human being to another made in the image of God.</w:t>
      </w:r>
      <w:r w:rsidRPr="007F4264">
        <w:rPr>
          <w:i/>
        </w:rPr>
        <w:br/>
        <w:t>Yes –can cross boundaries more easily than leaders.</w:t>
      </w:r>
      <w:r w:rsidRPr="007F4264">
        <w:rPr>
          <w:i/>
        </w:rPr>
        <w:br/>
        <w:t>Yes – a role that is both reactive and proactive as circumstances may demand. A role that goes beyond the liturgical but at the same time is rooted in liturgy. A role that proclaims the special relationship between God and all people</w:t>
      </w:r>
    </w:p>
    <w:p w:rsidR="007A355E" w:rsidRPr="007F4264" w:rsidRDefault="007A355E" w:rsidP="005C2127">
      <w:pPr>
        <w:spacing w:line="480" w:lineRule="auto"/>
        <w:rPr>
          <w:i/>
        </w:rPr>
      </w:pPr>
      <w:r w:rsidRPr="007A355E">
        <w:rPr>
          <w:b/>
        </w:rPr>
        <w:t>Lutheran Deacons</w:t>
      </w:r>
      <w:r>
        <w:br/>
      </w:r>
      <w:r w:rsidRPr="007F4264">
        <w:rPr>
          <w:i/>
        </w:rPr>
        <w:t>Yes – I believe it’s a great thing to be in a multi-faith context</w:t>
      </w:r>
      <w:r w:rsidRPr="007F4264">
        <w:rPr>
          <w:i/>
        </w:rPr>
        <w:br/>
        <w:t>The role of the Deacon is not defined  - it depends on where you are and who you meet. A sign of God’s love in the world</w:t>
      </w:r>
    </w:p>
    <w:p w:rsidR="007A355E" w:rsidRPr="007F4264" w:rsidRDefault="007A355E" w:rsidP="005C2127">
      <w:pPr>
        <w:spacing w:line="480" w:lineRule="auto"/>
        <w:rPr>
          <w:i/>
        </w:rPr>
      </w:pPr>
      <w:r w:rsidRPr="007A355E">
        <w:rPr>
          <w:b/>
        </w:rPr>
        <w:t>Catholic Deacons</w:t>
      </w:r>
      <w:r>
        <w:br/>
      </w:r>
      <w:r w:rsidRPr="007F4264">
        <w:rPr>
          <w:i/>
        </w:rPr>
        <w:t xml:space="preserve">Not really as the role of deacon is to be in the world </w:t>
      </w:r>
      <w:r w:rsidRPr="007F4264">
        <w:rPr>
          <w:i/>
        </w:rPr>
        <w:br/>
        <w:t>Not particularly – it’s for everyone to be involved</w:t>
      </w:r>
    </w:p>
    <w:p w:rsidR="007A355E" w:rsidRDefault="007A355E" w:rsidP="005C2127">
      <w:pPr>
        <w:spacing w:line="480" w:lineRule="auto"/>
      </w:pPr>
      <w:r>
        <w:t>There is an interesting emphasis in the answers from two of the Anglican</w:t>
      </w:r>
      <w:r w:rsidR="009071A8">
        <w:t>s</w:t>
      </w:r>
      <w:r>
        <w:t xml:space="preserve"> on the humanity of the deacon as not leader or possibly not priest. The responses from the two Catholic deacons emphasise both the universality of the role, also emphasised by one of the Lutheran Deacons and the universality of the ministry. The third response from the Anglican deacons also speaks of the diaconal role as a sign of the universal love of God for all humanity.</w:t>
      </w:r>
    </w:p>
    <w:p w:rsidR="007A355E" w:rsidRDefault="007A355E" w:rsidP="005C2127">
      <w:pPr>
        <w:pStyle w:val="Heading2"/>
        <w:spacing w:line="480" w:lineRule="auto"/>
        <w:rPr>
          <w:b w:val="0"/>
        </w:rPr>
      </w:pPr>
      <w:bookmarkStart w:id="17" w:name="_Toc428110559"/>
      <w:r w:rsidRPr="007A355E">
        <w:rPr>
          <w:b w:val="0"/>
        </w:rPr>
        <w:t>Conclusions</w:t>
      </w:r>
      <w:bookmarkEnd w:id="17"/>
    </w:p>
    <w:p w:rsidR="007A355E" w:rsidRDefault="007A355E" w:rsidP="005C2127">
      <w:pPr>
        <w:spacing w:line="480" w:lineRule="auto"/>
      </w:pPr>
      <w:r w:rsidRPr="007A355E">
        <w:t>The research s</w:t>
      </w:r>
      <w:r w:rsidR="005D3386">
        <w:t>uggeste</w:t>
      </w:r>
      <w:r w:rsidRPr="007A355E">
        <w:t xml:space="preserve">d that </w:t>
      </w:r>
      <w:r>
        <w:t>the descriptors found in the literature relating to deacons resonated with the people who minister in this capacity although the idea of a Minister of the Eucharist divides people across denominations. The analysis of this section of the questionnaire also indicated that there was significant overlap between the role of a deacon and the role of a minister in a multi-faith context. This is hidden slightly by an emphasis on servanthood as an understanding of the diaconate. However the understanding of a deacon as One Who Prays and Enabler of Others resonates strongly with the understanding of ministry in a multi-faith context.</w:t>
      </w:r>
    </w:p>
    <w:p w:rsidR="007A355E" w:rsidRDefault="007A355E" w:rsidP="005C2127">
      <w:pPr>
        <w:spacing w:line="480" w:lineRule="auto"/>
      </w:pPr>
      <w:r>
        <w:t xml:space="preserve">The additional descriptors given by respondents had a new emphasis on personal virtues and character that underpin both diaconal ministry and ministry in a multi-faith context.  Very few roles were assigned to ministers in a multi-faith context, instead there was an emphasis on character, skills, spirituality and theological aptitude. </w:t>
      </w:r>
    </w:p>
    <w:p w:rsidR="007A355E" w:rsidRDefault="007A355E" w:rsidP="005C2127">
      <w:pPr>
        <w:spacing w:line="480" w:lineRule="auto"/>
      </w:pPr>
      <w:r>
        <w:t>Answers given to questions about the role of deacons emphasised the symbolic nature of the ministry as a sign of God’s love outside the church and the position of diaconal ministry on the boundaries of Church and world.</w:t>
      </w:r>
    </w:p>
    <w:p w:rsidR="007A355E" w:rsidRDefault="007A355E" w:rsidP="005C2127">
      <w:pPr>
        <w:spacing w:line="480" w:lineRule="auto"/>
        <w:rPr>
          <w:rFonts w:eastAsia="Times New Roman" w:cs="Arial"/>
        </w:rPr>
      </w:pPr>
      <w:r>
        <w:t>The overarching conclusion from the research is that understanding of the diaconate is very disparate and the role can embrace many facets of ministry, requires many skills and virtues and offers the Church and the world different gifts in different places.  What becomes obvious is that the rationale for the diaconate does not lie in what deacons do but what they symbolise both inside and outside the Church. A document produced by Sheffield Diocese about the distinctive diaconate says this: “</w:t>
      </w:r>
      <w:r w:rsidRPr="007A355E">
        <w:rPr>
          <w:rFonts w:eastAsia="Times New Roman" w:cs="Arial"/>
        </w:rPr>
        <w:t xml:space="preserve">Thus diaconal ministry is not confined to caring service, but crucially, doing what God requires (Micah 6:8). It is important to distinguish the rationale of distinctive deacons from that of priesthood (and lay ministers). The threefold structure of ministry is significant not in what ministers do, but in what they represent in terms of being, and deacons have a specific role in supporting and reminding the Church of its goals, </w:t>
      </w:r>
      <w:r>
        <w:rPr>
          <w:rFonts w:eastAsia="Times New Roman" w:cs="Arial"/>
        </w:rPr>
        <w:t>m</w:t>
      </w:r>
      <w:r w:rsidRPr="007A355E">
        <w:rPr>
          <w:rFonts w:eastAsia="Times New Roman" w:cs="Arial"/>
        </w:rPr>
        <w:t>ission and servanthood.</w:t>
      </w:r>
      <w:r>
        <w:rPr>
          <w:rFonts w:eastAsia="Times New Roman" w:cs="Arial"/>
        </w:rPr>
        <w:t>”</w:t>
      </w:r>
      <w:r>
        <w:rPr>
          <w:rStyle w:val="FootnoteReference"/>
          <w:rFonts w:eastAsia="Times New Roman" w:cs="Arial"/>
        </w:rPr>
        <w:footnoteReference w:id="46"/>
      </w:r>
      <w:r>
        <w:rPr>
          <w:rFonts w:eastAsia="Times New Roman" w:cs="Arial"/>
        </w:rPr>
        <w:t xml:space="preserve">  Given this emphasis on being perhaps the list of virtues found in the descriptors given by respondents is not such a surprise.</w:t>
      </w:r>
    </w:p>
    <w:p w:rsidR="005D3386" w:rsidRDefault="005D3386" w:rsidP="005C2127">
      <w:pPr>
        <w:spacing w:line="480" w:lineRule="auto"/>
        <w:rPr>
          <w:rFonts w:eastAsia="Times New Roman" w:cs="Arial"/>
        </w:rPr>
      </w:pPr>
      <w:r>
        <w:rPr>
          <w:rFonts w:eastAsia="Times New Roman" w:cs="Arial"/>
        </w:rPr>
        <w:t>The emphasis on the humanity of the deacon and the idea that without leadership responsibilities the deacon is more able to cross boundaries may be a key reason that deacons could have a particular role to play in the multi-faith contexts. It seems quite possible that a deacon can reach the parts that other ministers cannot reach!</w:t>
      </w:r>
    </w:p>
    <w:p w:rsidR="007A355E" w:rsidRPr="007A355E" w:rsidRDefault="007A355E" w:rsidP="005C2127">
      <w:pPr>
        <w:pStyle w:val="Heading1"/>
        <w:spacing w:line="480" w:lineRule="auto"/>
        <w:rPr>
          <w:rFonts w:eastAsia="Times New Roman" w:cs="Arial"/>
          <w:b w:val="0"/>
        </w:rPr>
      </w:pPr>
      <w:bookmarkStart w:id="18" w:name="_Toc428110560"/>
      <w:r w:rsidRPr="007A355E">
        <w:rPr>
          <w:rFonts w:eastAsia="Times New Roman" w:cs="Arial"/>
          <w:b w:val="0"/>
        </w:rPr>
        <w:t>Virtues</w:t>
      </w:r>
      <w:r w:rsidR="008113E9">
        <w:rPr>
          <w:rFonts w:eastAsia="Times New Roman" w:cs="Arial"/>
          <w:b w:val="0"/>
        </w:rPr>
        <w:t xml:space="preserve"> of </w:t>
      </w:r>
      <w:r w:rsidR="008113E9" w:rsidRPr="008113E9">
        <w:rPr>
          <w:rFonts w:eastAsia="Times New Roman" w:cs="Arial"/>
          <w:b w:val="0"/>
          <w:i/>
        </w:rPr>
        <w:t>diakonia</w:t>
      </w:r>
      <w:r w:rsidRPr="007A355E">
        <w:rPr>
          <w:rFonts w:eastAsia="Times New Roman" w:cs="Arial"/>
          <w:b w:val="0"/>
        </w:rPr>
        <w:t xml:space="preserve"> in an Interfaith Context.</w:t>
      </w:r>
      <w:bookmarkEnd w:id="18"/>
      <w:r w:rsidR="00072A20">
        <w:rPr>
          <w:rFonts w:eastAsia="Times New Roman" w:cs="Arial"/>
          <w:b w:val="0"/>
        </w:rPr>
        <w:br/>
      </w:r>
    </w:p>
    <w:p w:rsidR="007A355E" w:rsidRDefault="007A355E" w:rsidP="005C2127">
      <w:pPr>
        <w:spacing w:line="480" w:lineRule="auto"/>
        <w:rPr>
          <w:rFonts w:eastAsia="Times New Roman" w:cs="Arial"/>
        </w:rPr>
      </w:pPr>
      <w:r>
        <w:rPr>
          <w:rFonts w:eastAsia="Times New Roman" w:cs="Arial"/>
        </w:rPr>
        <w:t xml:space="preserve">In her book </w:t>
      </w:r>
      <w:r w:rsidRPr="007A355E">
        <w:rPr>
          <w:rFonts w:eastAsia="Times New Roman" w:cs="Arial"/>
          <w:i/>
        </w:rPr>
        <w:t>the im-possibility of interreligious dialogue</w:t>
      </w:r>
      <w:r>
        <w:rPr>
          <w:rFonts w:eastAsia="Times New Roman" w:cs="Arial"/>
          <w:i/>
        </w:rPr>
        <w:t xml:space="preserve"> </w:t>
      </w:r>
      <w:r>
        <w:rPr>
          <w:rFonts w:eastAsia="Times New Roman" w:cs="Arial"/>
        </w:rPr>
        <w:t>Catherine Corneille suggests five virtues which create the possibility of interreligious connection at the deepest and most fruitful levels.  She says: “They represent what I consider to be the ideal conditions or ultimate horizon of any fruitful and constructive dialogue. It is almost certainly the case that they are never fully satisfied in the dialogue between religions. But any degree or fulfilment of these conditions may already allow for some form of constructive exchange.”</w:t>
      </w:r>
      <w:r>
        <w:rPr>
          <w:rStyle w:val="FootnoteReference"/>
          <w:rFonts w:eastAsia="Times New Roman" w:cs="Arial"/>
        </w:rPr>
        <w:footnoteReference w:id="47"/>
      </w:r>
      <w:r>
        <w:rPr>
          <w:rFonts w:eastAsia="Times New Roman" w:cs="Arial"/>
        </w:rPr>
        <w:t xml:space="preserve"> These five virtues are humility, commitment, interconnection, empathy and hospitality – virtues that permeate </w:t>
      </w:r>
      <w:r w:rsidR="005D3386">
        <w:rPr>
          <w:rFonts w:eastAsia="Times New Roman" w:cs="Arial"/>
        </w:rPr>
        <w:t>the practitioners’</w:t>
      </w:r>
      <w:r w:rsidR="00ED105C">
        <w:rPr>
          <w:rFonts w:eastAsia="Times New Roman" w:cs="Arial"/>
        </w:rPr>
        <w:t xml:space="preserve"> </w:t>
      </w:r>
      <w:r>
        <w:rPr>
          <w:rFonts w:eastAsia="Times New Roman" w:cs="Arial"/>
        </w:rPr>
        <w:t>understanding of both the diaconate and ministry in a multi-faith context</w:t>
      </w:r>
      <w:r w:rsidR="00ED105C">
        <w:rPr>
          <w:rFonts w:eastAsia="Times New Roman" w:cs="Arial"/>
        </w:rPr>
        <w:t xml:space="preserve"> explored in the previous chapter</w:t>
      </w:r>
      <w:r>
        <w:rPr>
          <w:rFonts w:eastAsia="Times New Roman" w:cs="Arial"/>
        </w:rPr>
        <w:t xml:space="preserve">. </w:t>
      </w:r>
      <w:r w:rsidR="00B212C8">
        <w:rPr>
          <w:rFonts w:eastAsia="Times New Roman" w:cs="Arial"/>
        </w:rPr>
        <w:t xml:space="preserve"> In her book Corneille used the word </w:t>
      </w:r>
      <w:r w:rsidR="00ED105C">
        <w:rPr>
          <w:rFonts w:eastAsia="Times New Roman" w:cs="Arial"/>
        </w:rPr>
        <w:t>‘</w:t>
      </w:r>
      <w:r w:rsidR="00B212C8">
        <w:rPr>
          <w:rFonts w:eastAsia="Times New Roman" w:cs="Arial"/>
        </w:rPr>
        <w:t>dialogue</w:t>
      </w:r>
      <w:r w:rsidR="00ED105C">
        <w:rPr>
          <w:rFonts w:eastAsia="Times New Roman" w:cs="Arial"/>
        </w:rPr>
        <w:t>’</w:t>
      </w:r>
      <w:r w:rsidR="00B212C8">
        <w:rPr>
          <w:rFonts w:eastAsia="Times New Roman" w:cs="Arial"/>
        </w:rPr>
        <w:t xml:space="preserve"> to encompass a wide range of engagement and encounter between people of different faiths – from grass-roots projects to friendships between faith leaders and  from discussion and debate to shared prayer times.</w:t>
      </w:r>
    </w:p>
    <w:p w:rsidR="00B212C8" w:rsidRDefault="00B212C8" w:rsidP="005C2127">
      <w:pPr>
        <w:pStyle w:val="Heading2"/>
        <w:spacing w:line="480" w:lineRule="auto"/>
        <w:rPr>
          <w:rFonts w:eastAsia="Times New Roman" w:cs="Arial"/>
        </w:rPr>
      </w:pPr>
      <w:bookmarkStart w:id="19" w:name="_Toc428110561"/>
      <w:r>
        <w:rPr>
          <w:rFonts w:eastAsia="Times New Roman" w:cs="Arial"/>
        </w:rPr>
        <w:t>HUMILITY</w:t>
      </w:r>
      <w:bookmarkEnd w:id="19"/>
    </w:p>
    <w:p w:rsidR="00B212C8" w:rsidRDefault="00B212C8" w:rsidP="005C2127">
      <w:pPr>
        <w:spacing w:line="480" w:lineRule="auto"/>
      </w:pPr>
      <w:r>
        <w:rPr>
          <w:rFonts w:eastAsia="Times New Roman" w:cs="Arial"/>
        </w:rPr>
        <w:t xml:space="preserve">Corneille argues that two kinds of humility are essential for there to be a possibility of dialogue between people of different faiths. The first involves the </w:t>
      </w:r>
      <w:r w:rsidR="00ED105C">
        <w:rPr>
          <w:rFonts w:eastAsia="Times New Roman" w:cs="Arial"/>
        </w:rPr>
        <w:t>acknowledgement</w:t>
      </w:r>
      <w:r>
        <w:rPr>
          <w:rFonts w:eastAsia="Times New Roman" w:cs="Arial"/>
        </w:rPr>
        <w:t xml:space="preserve"> of the limitations of one’s own understanding and knowledge of the other. The other involves humility towards one’s own faith – the recognition that the truth expressed in one’s own spiritual tradition is partial and finite.</w:t>
      </w:r>
      <w:r>
        <w:rPr>
          <w:rStyle w:val="FootnoteReference"/>
          <w:rFonts w:eastAsia="Times New Roman" w:cs="Arial"/>
        </w:rPr>
        <w:footnoteReference w:id="48"/>
      </w:r>
      <w:r>
        <w:rPr>
          <w:rFonts w:eastAsia="Times New Roman" w:cs="Arial"/>
        </w:rPr>
        <w:t xml:space="preserve"> This seems to link with the comments made by Anglican deacons to the last question on the survey that somehow it is easier for the deacon to cross boundaries that a religious ‘leader’ or that is it more possible for the deacon to relate as one human-being to another. Humility is a key virtue cited in descriptors for both deacons and those who minister in an interfaith setting and the descriptions of spirituality for those ministering in a multi-faith context also reflected this doctrinal humility. However one respondent clearly understood its importance for a deacon too stating that a deacon is: “</w:t>
      </w:r>
      <w:r>
        <w:t>Someone who sits lightly to the tradition but values it highly.” That tension of humility and rootedness links strongly with Corneille’s pairing of humility and commitment.</w:t>
      </w:r>
    </w:p>
    <w:p w:rsidR="00B212C8" w:rsidRDefault="00B212C8" w:rsidP="005C2127">
      <w:pPr>
        <w:spacing w:line="480" w:lineRule="auto"/>
      </w:pPr>
      <w:r>
        <w:t>Corneille goes on to assert that one of the “</w:t>
      </w:r>
      <w:r w:rsidR="005D3386">
        <w:t>d</w:t>
      </w:r>
      <w:r>
        <w:t>istinctive characteristics of Christian h</w:t>
      </w:r>
      <w:r w:rsidR="00ED105C">
        <w:t>umility</w:t>
      </w:r>
      <w:r w:rsidR="00CC4612">
        <w:t xml:space="preserve"> is it</w:t>
      </w:r>
      <w:r>
        <w:t>s Christocentric nature.”</w:t>
      </w:r>
      <w:r>
        <w:rPr>
          <w:rStyle w:val="FootnoteReference"/>
        </w:rPr>
        <w:footnoteReference w:id="49"/>
      </w:r>
      <w:r>
        <w:t xml:space="preserve"> The responses to the descriptors from the literature showed that both the ecumenical respondents and the Methodist respondents were more enthusiastic about deacons being an icon of Christ that an icon of the Holy Spirit. The pattern was the same, though less pronounced in the descriptors applied to ministers in a multi-faith context. </w:t>
      </w:r>
    </w:p>
    <w:p w:rsidR="00B212C8" w:rsidRDefault="00B212C8" w:rsidP="005C2127">
      <w:pPr>
        <w:spacing w:line="480" w:lineRule="auto"/>
      </w:pPr>
      <w:r>
        <w:t xml:space="preserve">The opening chapter of </w:t>
      </w:r>
      <w:r w:rsidRPr="00B212C8">
        <w:rPr>
          <w:i/>
        </w:rPr>
        <w:t>Generous Love</w:t>
      </w:r>
      <w:r>
        <w:t xml:space="preserve"> also emphasises the essential and central role of humility in interfaith engagement.  Not only does the document state that in order to mirror God’s love we must show love and respect to all but a</w:t>
      </w:r>
      <w:r w:rsidR="00ED105C">
        <w:t>lso that: “Our witness to Jesus as</w:t>
      </w:r>
      <w:r>
        <w:t xml:space="preserve"> Lord must be attested by Christ</w:t>
      </w:r>
      <w:r w:rsidR="00ED105C">
        <w:t>-</w:t>
      </w:r>
      <w:r>
        <w:t>like service and humility if it is to be heard and seen by our neighbours as the good news of the Kingdom.”</w:t>
      </w:r>
      <w:r>
        <w:rPr>
          <w:rStyle w:val="FootnoteReference"/>
        </w:rPr>
        <w:footnoteReference w:id="50"/>
      </w:r>
      <w:r>
        <w:t xml:space="preserve"> The explicit linking here of service and humility immediately connects these idea with the servant understanding of diaconate that remains central to the understanding of the role among those who responded to the questionnaire. </w:t>
      </w:r>
    </w:p>
    <w:p w:rsidR="00CC4612" w:rsidRPr="00B212C8" w:rsidRDefault="00CC4612" w:rsidP="005C2127">
      <w:pPr>
        <w:spacing w:line="480" w:lineRule="auto"/>
      </w:pPr>
      <w:r>
        <w:t xml:space="preserve">The same chapter of </w:t>
      </w:r>
      <w:r w:rsidRPr="00B212C8">
        <w:rPr>
          <w:i/>
        </w:rPr>
        <w:t>Generous Love</w:t>
      </w:r>
      <w:r>
        <w:t xml:space="preserve"> also hints at Corneille’s doctrinal humility. The writers use the image of the unconfined Holy Spirit to remind us that God’s work is not limited and the  fruits of the spirit will be found in our encounters with people of other faiths, calling us to ‘engage joyfully  with the Spirit’s work in their lives and in their communities.’</w:t>
      </w:r>
      <w:r>
        <w:rPr>
          <w:rStyle w:val="FootnoteReference"/>
        </w:rPr>
        <w:footnoteReference w:id="51"/>
      </w:r>
      <w:r>
        <w:t xml:space="preserve"> This idea of humility links strongly with one of the two descriptors that were reflected as being extremely important for both deacons and those who minister in multi-faith contexts, that is the descriptor Enabler of Others. </w:t>
      </w:r>
    </w:p>
    <w:p w:rsidR="00B212C8" w:rsidRDefault="00ED105C" w:rsidP="005C2127">
      <w:pPr>
        <w:spacing w:line="480" w:lineRule="auto"/>
      </w:pPr>
      <w:r>
        <w:t xml:space="preserve">Wells’s book, </w:t>
      </w:r>
      <w:r w:rsidR="00B212C8" w:rsidRPr="00B212C8">
        <w:rPr>
          <w:i/>
        </w:rPr>
        <w:t>A Nazareth Manifesto</w:t>
      </w:r>
      <w:r w:rsidR="00B212C8">
        <w:t>, suggests that the best way of serving the other is not to do things for them but to be with them.</w:t>
      </w:r>
      <w:r>
        <w:rPr>
          <w:rStyle w:val="FootnoteReference"/>
        </w:rPr>
        <w:footnoteReference w:id="52"/>
      </w:r>
      <w:r w:rsidR="00B212C8">
        <w:t xml:space="preserve"> This suggests a model of servanthood </w:t>
      </w:r>
      <w:r>
        <w:t>reminiscent</w:t>
      </w:r>
      <w:r w:rsidR="00B212C8">
        <w:t xml:space="preserve"> of the ‘retainer’ also described by Rosalind Brown</w:t>
      </w:r>
      <w:r w:rsidR="00B212C8">
        <w:rPr>
          <w:rStyle w:val="FootnoteReference"/>
        </w:rPr>
        <w:footnoteReference w:id="53"/>
      </w:r>
      <w:r w:rsidR="00B212C8">
        <w:t xml:space="preserve"> and perhaps linking with Corneille’s third and fourth virtues, interconnection and empathy. It also challenges the notion of the deacon as the dogsbody or general helper which scholars such as John N Collins  and Christine Hall argue has so </w:t>
      </w:r>
      <w:r>
        <w:t>diminished</w:t>
      </w:r>
      <w:r w:rsidR="00B212C8">
        <w:t xml:space="preserve"> the role over the last few centuries.</w:t>
      </w:r>
    </w:p>
    <w:p w:rsidR="00B212C8" w:rsidRDefault="00B212C8" w:rsidP="005C2127">
      <w:pPr>
        <w:pStyle w:val="Heading2"/>
        <w:spacing w:line="480" w:lineRule="auto"/>
        <w:rPr>
          <w:rFonts w:eastAsia="Times New Roman" w:cs="Arial"/>
        </w:rPr>
      </w:pPr>
      <w:bookmarkStart w:id="20" w:name="_Toc428110562"/>
      <w:r>
        <w:rPr>
          <w:rFonts w:eastAsia="Times New Roman" w:cs="Arial"/>
        </w:rPr>
        <w:t>COMMITMENT</w:t>
      </w:r>
      <w:bookmarkEnd w:id="20"/>
    </w:p>
    <w:p w:rsidR="00B212C8" w:rsidRDefault="00B212C8" w:rsidP="005C2127">
      <w:pPr>
        <w:spacing w:line="480" w:lineRule="auto"/>
        <w:rPr>
          <w:rFonts w:eastAsia="Times New Roman" w:cs="Arial"/>
        </w:rPr>
      </w:pPr>
      <w:r>
        <w:rPr>
          <w:rFonts w:eastAsia="Times New Roman" w:cs="Arial"/>
        </w:rPr>
        <w:t>Corneille talks abou</w:t>
      </w:r>
      <w:r w:rsidR="00ED105C">
        <w:rPr>
          <w:rFonts w:eastAsia="Times New Roman" w:cs="Arial"/>
        </w:rPr>
        <w:t>t</w:t>
      </w:r>
      <w:r>
        <w:rPr>
          <w:rFonts w:eastAsia="Times New Roman" w:cs="Arial"/>
        </w:rPr>
        <w:t xml:space="preserve"> the tension between commitment to one’s own faith and </w:t>
      </w:r>
      <w:r w:rsidR="00ED105C">
        <w:rPr>
          <w:rFonts w:eastAsia="Times New Roman" w:cs="Arial"/>
        </w:rPr>
        <w:t>openness</w:t>
      </w:r>
      <w:r>
        <w:rPr>
          <w:rFonts w:eastAsia="Times New Roman" w:cs="Arial"/>
        </w:rPr>
        <w:t xml:space="preserve"> to the faith of the other, concluding that: “While a certain degree of collaboration and mutual understanding may be allowed, the more radical forms of dialogue oriented toward the possibility of transformation and growth and rarely conducted by individuals who find themselves in the center of institutional hierarchies. Religions are indeed not always ready for what transpires in dialogue.”</w:t>
      </w:r>
      <w:r>
        <w:rPr>
          <w:rStyle w:val="FootnoteReference"/>
          <w:rFonts w:eastAsia="Times New Roman" w:cs="Arial"/>
        </w:rPr>
        <w:footnoteReference w:id="54"/>
      </w:r>
      <w:r>
        <w:rPr>
          <w:rFonts w:eastAsia="Times New Roman" w:cs="Arial"/>
        </w:rPr>
        <w:t xml:space="preserve"> This difficulty again points to the suitability of a deacon, whose position is on the margins of </w:t>
      </w:r>
      <w:r w:rsidR="00ED105C">
        <w:rPr>
          <w:rFonts w:eastAsia="Times New Roman" w:cs="Arial"/>
        </w:rPr>
        <w:t>hierarchies</w:t>
      </w:r>
      <w:r>
        <w:rPr>
          <w:rFonts w:eastAsia="Times New Roman" w:cs="Arial"/>
        </w:rPr>
        <w:t xml:space="preserve">, for this kind of dialogue </w:t>
      </w:r>
      <w:r w:rsidR="00724375">
        <w:rPr>
          <w:rFonts w:eastAsia="Times New Roman" w:cs="Arial"/>
        </w:rPr>
        <w:t>and questions</w:t>
      </w:r>
      <w:r>
        <w:rPr>
          <w:rFonts w:eastAsia="Times New Roman" w:cs="Arial"/>
        </w:rPr>
        <w:t xml:space="preserve"> the depth to which a more official leader, such as a priest or bishop can go in this kind of enga</w:t>
      </w:r>
      <w:r w:rsidR="00ED105C">
        <w:rPr>
          <w:rFonts w:eastAsia="Times New Roman" w:cs="Arial"/>
        </w:rPr>
        <w:t>g</w:t>
      </w:r>
      <w:r>
        <w:rPr>
          <w:rFonts w:eastAsia="Times New Roman" w:cs="Arial"/>
        </w:rPr>
        <w:t xml:space="preserve">ement. </w:t>
      </w:r>
    </w:p>
    <w:p w:rsidR="00B212C8" w:rsidRDefault="00B212C8" w:rsidP="005C2127">
      <w:pPr>
        <w:spacing w:line="480" w:lineRule="auto"/>
        <w:rPr>
          <w:rFonts w:eastAsia="Times New Roman" w:cs="Arial"/>
        </w:rPr>
      </w:pPr>
      <w:r>
        <w:rPr>
          <w:rFonts w:eastAsia="Times New Roman" w:cs="Arial"/>
        </w:rPr>
        <w:t xml:space="preserve">On the other hand, Corneille is equally aware of the benefits of dialogue being rooted in a tradition, claiming that without this commitment interreligious dialogue becomes interpersonal dialogue. These benefits include: </w:t>
      </w:r>
    </w:p>
    <w:p w:rsidR="00B212C8" w:rsidRDefault="00B212C8" w:rsidP="005C2127">
      <w:pPr>
        <w:pStyle w:val="ListParagraph"/>
        <w:numPr>
          <w:ilvl w:val="0"/>
          <w:numId w:val="12"/>
        </w:numPr>
        <w:spacing w:line="480" w:lineRule="auto"/>
        <w:rPr>
          <w:rFonts w:eastAsia="Times New Roman" w:cs="Arial"/>
        </w:rPr>
      </w:pPr>
      <w:r>
        <w:rPr>
          <w:rFonts w:eastAsia="Times New Roman" w:cs="Arial"/>
        </w:rPr>
        <w:t xml:space="preserve">The </w:t>
      </w:r>
      <w:r w:rsidR="00724375">
        <w:rPr>
          <w:rFonts w:eastAsia="Times New Roman" w:cs="Arial"/>
        </w:rPr>
        <w:t>possibility</w:t>
      </w:r>
      <w:r>
        <w:rPr>
          <w:rFonts w:eastAsia="Times New Roman" w:cs="Arial"/>
        </w:rPr>
        <w:t xml:space="preserve"> of change is brought back to the tradition by the one engaging in dialogue</w:t>
      </w:r>
    </w:p>
    <w:p w:rsidR="00B212C8" w:rsidRDefault="00B212C8" w:rsidP="005C2127">
      <w:pPr>
        <w:pStyle w:val="ListParagraph"/>
        <w:numPr>
          <w:ilvl w:val="0"/>
          <w:numId w:val="12"/>
        </w:numPr>
        <w:spacing w:line="480" w:lineRule="auto"/>
        <w:rPr>
          <w:rFonts w:eastAsia="Times New Roman" w:cs="Arial"/>
        </w:rPr>
      </w:pPr>
      <w:r>
        <w:rPr>
          <w:rFonts w:eastAsia="Times New Roman" w:cs="Arial"/>
        </w:rPr>
        <w:t>Participants can dialogue as representatives of their respective religions</w:t>
      </w:r>
    </w:p>
    <w:p w:rsidR="00B212C8" w:rsidRDefault="00B212C8" w:rsidP="005C2127">
      <w:pPr>
        <w:pStyle w:val="ListParagraph"/>
        <w:numPr>
          <w:ilvl w:val="0"/>
          <w:numId w:val="12"/>
        </w:numPr>
        <w:spacing w:line="480" w:lineRule="auto"/>
        <w:rPr>
          <w:rFonts w:eastAsia="Times New Roman" w:cs="Arial"/>
        </w:rPr>
      </w:pPr>
      <w:r>
        <w:rPr>
          <w:rFonts w:eastAsia="Times New Roman" w:cs="Arial"/>
        </w:rPr>
        <w:t>A storehouse of religious teachings and practices that have been tried and tested through the ages are brought to the discussion</w:t>
      </w:r>
    </w:p>
    <w:p w:rsidR="00B212C8" w:rsidRDefault="00B212C8" w:rsidP="005C2127">
      <w:pPr>
        <w:pStyle w:val="ListParagraph"/>
        <w:numPr>
          <w:ilvl w:val="0"/>
          <w:numId w:val="12"/>
        </w:numPr>
        <w:spacing w:line="480" w:lineRule="auto"/>
        <w:rPr>
          <w:rFonts w:eastAsia="Times New Roman" w:cs="Arial"/>
        </w:rPr>
      </w:pPr>
      <w:r>
        <w:rPr>
          <w:rFonts w:eastAsia="Times New Roman" w:cs="Arial"/>
        </w:rPr>
        <w:t>Confidence for the interlocutor that one is engaging with genuine religious tradition</w:t>
      </w:r>
      <w:r w:rsidR="008113E9">
        <w:rPr>
          <w:rStyle w:val="FootnoteReference"/>
          <w:rFonts w:eastAsia="Times New Roman" w:cs="Arial"/>
        </w:rPr>
        <w:footnoteReference w:id="55"/>
      </w:r>
    </w:p>
    <w:p w:rsidR="00B212C8" w:rsidRDefault="00B212C8" w:rsidP="005C2127">
      <w:pPr>
        <w:spacing w:line="480" w:lineRule="auto"/>
        <w:rPr>
          <w:rFonts w:eastAsia="Times New Roman" w:cs="Arial"/>
        </w:rPr>
      </w:pPr>
      <w:r>
        <w:rPr>
          <w:rFonts w:eastAsia="Times New Roman" w:cs="Arial"/>
        </w:rPr>
        <w:t xml:space="preserve">The deacon, while not central to the </w:t>
      </w:r>
      <w:r w:rsidR="00724375">
        <w:rPr>
          <w:rFonts w:eastAsia="Times New Roman" w:cs="Arial"/>
        </w:rPr>
        <w:t>hierarchy</w:t>
      </w:r>
      <w:r w:rsidR="00FD2553">
        <w:rPr>
          <w:rFonts w:eastAsia="Times New Roman" w:cs="Arial"/>
        </w:rPr>
        <w:t>,</w:t>
      </w:r>
      <w:r>
        <w:rPr>
          <w:rFonts w:eastAsia="Times New Roman" w:cs="Arial"/>
        </w:rPr>
        <w:t xml:space="preserve"> may be in a position to effect change</w:t>
      </w:r>
      <w:r w:rsidR="00FD2553">
        <w:rPr>
          <w:rFonts w:eastAsia="Times New Roman" w:cs="Arial"/>
        </w:rPr>
        <w:t>;</w:t>
      </w:r>
      <w:r>
        <w:rPr>
          <w:rFonts w:eastAsia="Times New Roman" w:cs="Arial"/>
        </w:rPr>
        <w:t xml:space="preserve"> is a representative minister of their </w:t>
      </w:r>
      <w:r w:rsidR="00724375">
        <w:rPr>
          <w:rFonts w:eastAsia="Times New Roman" w:cs="Arial"/>
        </w:rPr>
        <w:t>religion</w:t>
      </w:r>
      <w:r w:rsidR="00FD2553">
        <w:rPr>
          <w:rFonts w:eastAsia="Times New Roman" w:cs="Arial"/>
        </w:rPr>
        <w:t>;</w:t>
      </w:r>
      <w:r>
        <w:rPr>
          <w:rFonts w:eastAsia="Times New Roman" w:cs="Arial"/>
        </w:rPr>
        <w:t xml:space="preserve"> is theologically educated and able to articulate the tradition</w:t>
      </w:r>
      <w:r w:rsidR="00113478">
        <w:rPr>
          <w:rFonts w:eastAsia="Times New Roman" w:cs="Arial"/>
        </w:rPr>
        <w:t>,</w:t>
      </w:r>
      <w:r>
        <w:rPr>
          <w:rFonts w:eastAsia="Times New Roman" w:cs="Arial"/>
        </w:rPr>
        <w:t xml:space="preserve"> and thus should give confidence to the other that there is genuine commitment to a religious tradition. This insistence on commitment ties closely with descriptors from the literature such as ambassador/envoy, spokesperson/messenger and herald/proclaimer. It was also striking that amongst very disparate </w:t>
      </w:r>
      <w:r w:rsidR="00724375">
        <w:rPr>
          <w:rFonts w:eastAsia="Times New Roman" w:cs="Arial"/>
        </w:rPr>
        <w:t>descriptors</w:t>
      </w:r>
      <w:r w:rsidR="00CC4612">
        <w:rPr>
          <w:rFonts w:eastAsia="Times New Roman" w:cs="Arial"/>
        </w:rPr>
        <w:t xml:space="preserve"> in</w:t>
      </w:r>
      <w:r w:rsidR="000E52E0">
        <w:rPr>
          <w:rFonts w:eastAsia="Times New Roman" w:cs="Arial"/>
        </w:rPr>
        <w:t xml:space="preserve"> Table 2, Appendix 4</w:t>
      </w:r>
      <w:r w:rsidR="00724375">
        <w:rPr>
          <w:rFonts w:eastAsia="Times New Roman" w:cs="Arial"/>
        </w:rPr>
        <w:t>;</w:t>
      </w:r>
      <w:r>
        <w:rPr>
          <w:rFonts w:eastAsia="Times New Roman" w:cs="Arial"/>
        </w:rPr>
        <w:t xml:space="preserve"> five people felt that a minister in a multi-faith environment should be ‘secure in their own faith’ while similar descriptors such as being ‘grounded in the gospel’ or ‘strong in faith’ were also used to describe attributes of a deacon.</w:t>
      </w:r>
    </w:p>
    <w:p w:rsidR="00113478" w:rsidRDefault="00B212C8" w:rsidP="00113478">
      <w:pPr>
        <w:spacing w:line="480" w:lineRule="auto"/>
        <w:rPr>
          <w:rFonts w:eastAsia="Times New Roman" w:cs="Arial"/>
        </w:rPr>
      </w:pPr>
      <w:r>
        <w:rPr>
          <w:rFonts w:eastAsia="Times New Roman" w:cs="Arial"/>
        </w:rPr>
        <w:t xml:space="preserve">Chapter 5 of </w:t>
      </w:r>
      <w:r w:rsidRPr="00FD2553">
        <w:rPr>
          <w:rFonts w:eastAsia="Times New Roman" w:cs="Arial"/>
          <w:i/>
        </w:rPr>
        <w:t>Generous Love</w:t>
      </w:r>
      <w:r>
        <w:rPr>
          <w:rFonts w:eastAsia="Times New Roman" w:cs="Arial"/>
        </w:rPr>
        <w:t xml:space="preserve"> also talks about a similar commitment to live the life of God in a particular place in order to generate prayer and witness.</w:t>
      </w:r>
      <w:r>
        <w:rPr>
          <w:rStyle w:val="FootnoteReference"/>
          <w:rFonts w:eastAsia="Times New Roman" w:cs="Arial"/>
        </w:rPr>
        <w:footnoteReference w:id="56"/>
      </w:r>
      <w:r>
        <w:rPr>
          <w:rFonts w:eastAsia="Times New Roman" w:cs="Arial"/>
        </w:rPr>
        <w:t xml:space="preserve"> The document talks about the importance of the visible signs of Anglican tradition such as buildings, liturgy and priesthood alongside the commitment to work and pray for the peace and welfare of the cities and societies in which we live. This emphasis on prayerfulness links back to the very pertinent descriptor of both the deacon and the minister in the multi-faith community as ‘One who Prays’.</w:t>
      </w:r>
    </w:p>
    <w:p w:rsidR="00113478" w:rsidRDefault="00113478" w:rsidP="00113478">
      <w:pPr>
        <w:pStyle w:val="Heading2"/>
        <w:rPr>
          <w:rFonts w:eastAsia="Times New Roman" w:cs="Arial"/>
        </w:rPr>
      </w:pPr>
      <w:r>
        <w:rPr>
          <w:rFonts w:eastAsia="Times New Roman" w:cs="Arial"/>
        </w:rPr>
        <w:t xml:space="preserve"> </w:t>
      </w:r>
      <w:bookmarkStart w:id="21" w:name="_Toc428110563"/>
      <w:r w:rsidR="008113E9">
        <w:rPr>
          <w:rFonts w:eastAsia="Times New Roman" w:cs="Arial"/>
        </w:rPr>
        <w:t>INTERCONNECTION</w:t>
      </w:r>
    </w:p>
    <w:p w:rsidR="00113478" w:rsidRPr="00113478" w:rsidRDefault="00113478" w:rsidP="00113478">
      <w:pPr>
        <w:spacing w:line="480" w:lineRule="auto"/>
        <w:rPr>
          <w:rFonts w:eastAsia="Times New Roman" w:cs="Arial"/>
        </w:rPr>
      </w:pPr>
      <w:r>
        <w:rPr>
          <w:rFonts w:eastAsia="Times New Roman" w:cs="Arial"/>
        </w:rPr>
        <w:br/>
      </w:r>
      <w:r w:rsidRPr="00113478">
        <w:rPr>
          <w:rFonts w:eastAsia="Times New Roman" w:cs="Arial"/>
        </w:rPr>
        <w:t>Corneille argues that for dialogue to be possible there must be some recognition of the interconnection between the religions, the belief that common ground can be found between different traditions. This common ground may include the prophetic practice of confronting external challenges, the domain of mysticism or spiritual experience or a common reference to a transcendent reality.  While Corneille expresses caution about the depth and longevity of dialogue based on alleviating poverty, tackling a common cause or a shared commitment to social, political or economic causes, she says: “This external meeting ground creates a strong sense of interreligious solidarity and collaboration.”</w:t>
      </w:r>
    </w:p>
    <w:p w:rsidR="00113478" w:rsidRPr="00113478" w:rsidRDefault="00113478" w:rsidP="00113478">
      <w:pPr>
        <w:spacing w:line="480" w:lineRule="auto"/>
        <w:rPr>
          <w:rFonts w:eastAsia="Times New Roman" w:cs="Arial"/>
        </w:rPr>
      </w:pPr>
    </w:p>
    <w:p w:rsidR="008113E9" w:rsidRPr="00072A20" w:rsidRDefault="00113478" w:rsidP="00113478">
      <w:pPr>
        <w:spacing w:line="480" w:lineRule="auto"/>
        <w:rPr>
          <w:rFonts w:eastAsia="Times New Roman" w:cs="Arial"/>
          <w:b/>
          <w:sz w:val="24"/>
          <w:szCs w:val="24"/>
        </w:rPr>
      </w:pPr>
      <w:r w:rsidRPr="00113478">
        <w:rPr>
          <w:rFonts w:eastAsia="Times New Roman" w:cs="Arial"/>
        </w:rPr>
        <w:t>Just as Edward Echlin sees environmental concerns as a catalyst for a new dimension in diaconal ministry,   Corneille quotes Knitter who describes the human and ecological suffering caused by globalization as a: “</w:t>
      </w:r>
      <w:r>
        <w:rPr>
          <w:rFonts w:eastAsia="Times New Roman" w:cs="Arial"/>
        </w:rPr>
        <w:t>...n</w:t>
      </w:r>
      <w:r w:rsidRPr="00113478">
        <w:rPr>
          <w:rFonts w:eastAsia="Times New Roman" w:cs="Arial"/>
        </w:rPr>
        <w:t>ew hermeneutical kairos for interreligious dialogue.” Corneille argues that this kind of dialogue might be transitory</w:t>
      </w:r>
      <w:r>
        <w:rPr>
          <w:rFonts w:eastAsia="Times New Roman" w:cs="Arial"/>
        </w:rPr>
        <w:t>,</w:t>
      </w:r>
      <w:r w:rsidRPr="00113478">
        <w:rPr>
          <w:rFonts w:eastAsia="Times New Roman" w:cs="Arial"/>
        </w:rPr>
        <w:t xml:space="preserve"> ending when a problem is solved</w:t>
      </w:r>
      <w:r>
        <w:rPr>
          <w:rFonts w:eastAsia="Times New Roman" w:cs="Arial"/>
        </w:rPr>
        <w:t>,</w:t>
      </w:r>
      <w:r w:rsidRPr="00113478">
        <w:rPr>
          <w:rFonts w:eastAsia="Times New Roman" w:cs="Arial"/>
        </w:rPr>
        <w:t xml:space="preserve"> but it seems unlikely th</w:t>
      </w:r>
      <w:r>
        <w:rPr>
          <w:rFonts w:eastAsia="Times New Roman" w:cs="Arial"/>
        </w:rPr>
        <w:t>at</w:t>
      </w:r>
      <w:r w:rsidRPr="00113478">
        <w:rPr>
          <w:rFonts w:eastAsia="Times New Roman" w:cs="Arial"/>
        </w:rPr>
        <w:t xml:space="preserve"> issues such as climate change, gender subjugation, violence, poverty and injustice will actually ever be resolved fully, despite progress that can be made. The deacon with their emphasis on both connecting people and a prophetic ministry of confronting injustice locally and globally could be a vital resource for this kind of interreligious dialogue. The emphasis on the prayerfulness of the deacon should also allow them to engage in inter-spiritual dialogue while their rootedness in the Church will enable them to engage in dialogue based on a transcendent reality.</w:t>
      </w:r>
      <w:r w:rsidR="008113E9">
        <w:rPr>
          <w:rFonts w:eastAsia="Times New Roman" w:cs="Arial"/>
        </w:rPr>
        <w:br/>
      </w:r>
      <w:bookmarkEnd w:id="21"/>
      <w:r w:rsidR="005C2127">
        <w:rPr>
          <w:rFonts w:eastAsia="Times New Roman" w:cs="Arial"/>
          <w:b/>
          <w:sz w:val="24"/>
          <w:szCs w:val="24"/>
        </w:rPr>
        <w:br/>
      </w:r>
    </w:p>
    <w:p w:rsidR="008113E9" w:rsidRDefault="008113E9" w:rsidP="005C2127">
      <w:pPr>
        <w:spacing w:line="480" w:lineRule="auto"/>
        <w:rPr>
          <w:rFonts w:eastAsia="Times New Roman" w:cs="Arial"/>
        </w:rPr>
      </w:pPr>
      <w:r w:rsidRPr="00113478">
        <w:rPr>
          <w:rFonts w:eastAsia="Times New Roman" w:cs="Arial"/>
          <w:i/>
        </w:rPr>
        <w:t>Generous Love</w:t>
      </w:r>
      <w:r>
        <w:rPr>
          <w:rFonts w:eastAsia="Times New Roman" w:cs="Arial"/>
        </w:rPr>
        <w:t xml:space="preserve"> points out that: “Aggressive and intolerant forms of believing and belonging are growing in all the world’s religious traditions; at the same time, in some societies there is an increasingly influential form of secularism which is hostile to all religion.”</w:t>
      </w:r>
      <w:r>
        <w:rPr>
          <w:rStyle w:val="FootnoteReference"/>
          <w:rFonts w:eastAsia="Times New Roman" w:cs="Arial"/>
        </w:rPr>
        <w:footnoteReference w:id="57"/>
      </w:r>
      <w:r>
        <w:rPr>
          <w:rFonts w:eastAsia="Times New Roman" w:cs="Arial"/>
        </w:rPr>
        <w:t xml:space="preserve"> This kind of inter-religious dialogue with its emphasis on connectedness could provide an antidote to intolerance while Corneille suggests that </w:t>
      </w:r>
      <w:r w:rsidR="005D3386">
        <w:rPr>
          <w:rFonts w:eastAsia="Times New Roman" w:cs="Arial"/>
        </w:rPr>
        <w:t xml:space="preserve">challenging </w:t>
      </w:r>
      <w:r>
        <w:rPr>
          <w:rFonts w:eastAsia="Times New Roman" w:cs="Arial"/>
        </w:rPr>
        <w:t>growing secularism is another point of common ground. The document goes on to link the dialogue in response to external challenges with dialogue based on a transcendent reality citing an Anglican approach.</w:t>
      </w:r>
    </w:p>
    <w:p w:rsidR="008113E9" w:rsidRDefault="008113E9" w:rsidP="005C2127">
      <w:pPr>
        <w:spacing w:line="480" w:lineRule="auto"/>
        <w:ind w:left="720"/>
        <w:rPr>
          <w:rFonts w:eastAsia="Times New Roman" w:cs="Arial"/>
        </w:rPr>
      </w:pPr>
      <w:r>
        <w:rPr>
          <w:rFonts w:eastAsia="Times New Roman" w:cs="Arial"/>
        </w:rPr>
        <w:t>“Acknowledging that</w:t>
      </w:r>
      <w:r w:rsidR="00113478">
        <w:rPr>
          <w:rFonts w:eastAsia="Times New Roman" w:cs="Arial"/>
        </w:rPr>
        <w:t xml:space="preserve"> there</w:t>
      </w:r>
      <w:r>
        <w:rPr>
          <w:rFonts w:eastAsia="Times New Roman" w:cs="Arial"/>
        </w:rPr>
        <w:t xml:space="preserve"> is one God, the Creator, an Anglican approach dismisses nothing as outside God’s concern, but attends to the world in its manifold differences in the expectation that it ultimately coheres, having one source and one goal in God</w:t>
      </w:r>
      <w:r w:rsidR="00724375">
        <w:rPr>
          <w:rFonts w:eastAsia="Times New Roman" w:cs="Arial"/>
        </w:rPr>
        <w:t xml:space="preserve">. </w:t>
      </w:r>
      <w:r>
        <w:rPr>
          <w:rFonts w:eastAsia="Times New Roman" w:cs="Arial"/>
        </w:rPr>
        <w:t>This is a discipline against sectarianism and a resource for living with plurality.”</w:t>
      </w:r>
      <w:r w:rsidR="00113478">
        <w:rPr>
          <w:rStyle w:val="FootnoteReference"/>
          <w:rFonts w:eastAsia="Times New Roman" w:cs="Arial"/>
        </w:rPr>
        <w:footnoteReference w:id="58"/>
      </w:r>
    </w:p>
    <w:p w:rsidR="008113E9" w:rsidRDefault="008113E9" w:rsidP="005C2127">
      <w:pPr>
        <w:spacing w:line="480" w:lineRule="auto"/>
        <w:rPr>
          <w:rFonts w:eastAsia="Times New Roman" w:cs="Arial"/>
        </w:rPr>
      </w:pPr>
      <w:r>
        <w:rPr>
          <w:rFonts w:eastAsia="Times New Roman" w:cs="Arial"/>
        </w:rPr>
        <w:t xml:space="preserve">This ‘Anglican approach’ offers enormous scope for a deacon to minister in a multi-faith context, by focussing on global or local issues and connecting these to the shared understanding of transcendent reality, much in the same way as the deacon’s activity in the world are linked to the ongoing ministry of Jesus Christ through the deacon’s role in the liturgy, particularly at the Eucharist. </w:t>
      </w:r>
    </w:p>
    <w:p w:rsidR="008113E9" w:rsidRDefault="008113E9" w:rsidP="005C2127">
      <w:pPr>
        <w:spacing w:line="480" w:lineRule="auto"/>
        <w:rPr>
          <w:rFonts w:eastAsia="Times New Roman" w:cs="Arial"/>
        </w:rPr>
      </w:pPr>
      <w:r w:rsidRPr="00113478">
        <w:rPr>
          <w:rFonts w:eastAsia="Times New Roman" w:cs="Arial"/>
          <w:i/>
        </w:rPr>
        <w:t>Generous Love</w:t>
      </w:r>
      <w:r>
        <w:rPr>
          <w:rFonts w:eastAsia="Times New Roman" w:cs="Arial"/>
        </w:rPr>
        <w:t xml:space="preserve"> offers another mode of interconnected dialogue – that of Scriptural reasoning. This kind of dialogue resonates deeply with the liturgical role of the deacon as a Minister of the Word.</w:t>
      </w:r>
    </w:p>
    <w:p w:rsidR="008113E9" w:rsidRDefault="0020637A" w:rsidP="005C2127">
      <w:pPr>
        <w:pStyle w:val="Heading2"/>
        <w:spacing w:line="480" w:lineRule="auto"/>
        <w:rPr>
          <w:rFonts w:eastAsia="Times New Roman" w:cs="Arial"/>
        </w:rPr>
      </w:pPr>
      <w:bookmarkStart w:id="22" w:name="_Toc428110564"/>
      <w:r>
        <w:rPr>
          <w:rFonts w:eastAsia="Times New Roman" w:cs="Arial"/>
        </w:rPr>
        <w:t>EMPATHY</w:t>
      </w:r>
      <w:bookmarkEnd w:id="22"/>
    </w:p>
    <w:p w:rsidR="005C2127" w:rsidRPr="005C2127" w:rsidRDefault="005C2127" w:rsidP="005C2127">
      <w:pPr>
        <w:spacing w:line="480" w:lineRule="auto"/>
      </w:pPr>
    </w:p>
    <w:p w:rsidR="0020637A" w:rsidRDefault="0020637A" w:rsidP="005C2127">
      <w:pPr>
        <w:spacing w:line="480" w:lineRule="auto"/>
        <w:rPr>
          <w:rFonts w:eastAsia="Times New Roman" w:cs="Arial"/>
        </w:rPr>
      </w:pPr>
      <w:r>
        <w:rPr>
          <w:rFonts w:eastAsia="Times New Roman" w:cs="Arial"/>
        </w:rPr>
        <w:t xml:space="preserve">Corneille </w:t>
      </w:r>
      <w:r w:rsidR="00724375">
        <w:rPr>
          <w:rFonts w:eastAsia="Times New Roman" w:cs="Arial"/>
        </w:rPr>
        <w:t>maintains</w:t>
      </w:r>
      <w:r>
        <w:rPr>
          <w:rFonts w:eastAsia="Times New Roman" w:cs="Arial"/>
        </w:rPr>
        <w:t xml:space="preserve"> that real religious dialogue calls for a deep understanding of the religious other beyond an intellectual grasp of doctrine and ritual. She says: “Real understanding….also presupposes a willingness to penetrate into the religious mind-set of the other and understand him or her from within….The process of transposing oneself into the feelings, the thoughts, and the experiences of another has generally been called ‘empathy’”.</w:t>
      </w:r>
      <w:r>
        <w:rPr>
          <w:rStyle w:val="FootnoteReference"/>
          <w:rFonts w:eastAsia="Times New Roman" w:cs="Arial"/>
        </w:rPr>
        <w:footnoteReference w:id="59"/>
      </w:r>
    </w:p>
    <w:p w:rsidR="0020637A" w:rsidRDefault="0020637A" w:rsidP="005C2127">
      <w:pPr>
        <w:spacing w:line="480" w:lineRule="auto"/>
        <w:rPr>
          <w:rFonts w:eastAsia="Times New Roman" w:cs="Arial"/>
        </w:rPr>
      </w:pPr>
      <w:r>
        <w:rPr>
          <w:rFonts w:eastAsia="Times New Roman" w:cs="Arial"/>
        </w:rPr>
        <w:t>This kind of empathy not only enables an understanding beyond the words of what is being communicated but also enables the discernment of what is relevant and true for one</w:t>
      </w:r>
      <w:r w:rsidR="00724375">
        <w:rPr>
          <w:rFonts w:eastAsia="Times New Roman" w:cs="Arial"/>
        </w:rPr>
        <w:t>’s</w:t>
      </w:r>
      <w:r>
        <w:rPr>
          <w:rFonts w:eastAsia="Times New Roman" w:cs="Arial"/>
        </w:rPr>
        <w:t xml:space="preserve"> own</w:t>
      </w:r>
      <w:r w:rsidR="00724375">
        <w:rPr>
          <w:rFonts w:eastAsia="Times New Roman" w:cs="Arial"/>
        </w:rPr>
        <w:t xml:space="preserve"> </w:t>
      </w:r>
      <w:r>
        <w:rPr>
          <w:rFonts w:eastAsia="Times New Roman" w:cs="Arial"/>
        </w:rPr>
        <w:t xml:space="preserve">religious practice and the tradition in general.  It is the virtue that not only allows for the transference of far more than data but then allows for this to be applied by the other. </w:t>
      </w:r>
    </w:p>
    <w:p w:rsidR="0020637A" w:rsidRDefault="0020637A" w:rsidP="005C2127">
      <w:pPr>
        <w:spacing w:line="480" w:lineRule="auto"/>
        <w:rPr>
          <w:rFonts w:eastAsia="Times New Roman" w:cs="Arial"/>
        </w:rPr>
      </w:pPr>
      <w:r>
        <w:rPr>
          <w:rFonts w:eastAsia="Times New Roman" w:cs="Arial"/>
        </w:rPr>
        <w:t xml:space="preserve">In her chapter on empathy Corneille outlines many conditions that may enable empathy to arise. These include engagement with religious texts, prolonged </w:t>
      </w:r>
      <w:r w:rsidR="00724375">
        <w:rPr>
          <w:rFonts w:eastAsia="Times New Roman" w:cs="Arial"/>
        </w:rPr>
        <w:t>participation</w:t>
      </w:r>
      <w:r>
        <w:rPr>
          <w:rFonts w:eastAsia="Times New Roman" w:cs="Arial"/>
        </w:rPr>
        <w:t xml:space="preserve"> in the religious life of the other or deep engagement with members of other </w:t>
      </w:r>
      <w:r w:rsidR="00724375">
        <w:rPr>
          <w:rFonts w:eastAsia="Times New Roman" w:cs="Arial"/>
        </w:rPr>
        <w:t>religions</w:t>
      </w:r>
      <w:r>
        <w:rPr>
          <w:rFonts w:eastAsia="Times New Roman" w:cs="Arial"/>
        </w:rPr>
        <w:t>. She also describes the shared desire</w:t>
      </w:r>
      <w:r w:rsidR="00724375">
        <w:rPr>
          <w:rFonts w:eastAsia="Times New Roman" w:cs="Arial"/>
        </w:rPr>
        <w:t>s of religions, for such things</w:t>
      </w:r>
      <w:r>
        <w:rPr>
          <w:rFonts w:eastAsia="Times New Roman" w:cs="Arial"/>
        </w:rPr>
        <w:t xml:space="preserve"> as longevity, joy, fertility and peace as</w:t>
      </w:r>
      <w:r w:rsidR="00724375">
        <w:rPr>
          <w:rFonts w:eastAsia="Times New Roman" w:cs="Arial"/>
        </w:rPr>
        <w:t xml:space="preserve"> a</w:t>
      </w:r>
      <w:r w:rsidR="00CC4612">
        <w:rPr>
          <w:rFonts w:eastAsia="Times New Roman" w:cs="Arial"/>
        </w:rPr>
        <w:t xml:space="preserve"> </w:t>
      </w:r>
      <w:r>
        <w:rPr>
          <w:rFonts w:eastAsia="Times New Roman" w:cs="Arial"/>
        </w:rPr>
        <w:t xml:space="preserve">broad pool in which </w:t>
      </w:r>
      <w:r w:rsidR="00724375">
        <w:rPr>
          <w:rFonts w:eastAsia="Times New Roman" w:cs="Arial"/>
        </w:rPr>
        <w:t>interreligious</w:t>
      </w:r>
      <w:r w:rsidR="005D3386">
        <w:rPr>
          <w:rFonts w:eastAsia="Times New Roman" w:cs="Arial"/>
        </w:rPr>
        <w:t xml:space="preserve"> empathy may be found</w:t>
      </w:r>
      <w:r w:rsidR="001360BA">
        <w:rPr>
          <w:rFonts w:eastAsia="Times New Roman" w:cs="Arial"/>
        </w:rPr>
        <w:t>.</w:t>
      </w:r>
      <w:r w:rsidR="005D3386">
        <w:rPr>
          <w:rFonts w:eastAsia="Times New Roman" w:cs="Arial"/>
        </w:rPr>
        <w:t xml:space="preserve"> T</w:t>
      </w:r>
      <w:r>
        <w:rPr>
          <w:rFonts w:eastAsia="Times New Roman" w:cs="Arial"/>
        </w:rPr>
        <w:t xml:space="preserve">hese values of religion seem to mirror the external challenges mentioned as a source of interconnectedness. Equally, as religious experience and mysticism could lead to interconnection so too can more personal experiences such as </w:t>
      </w:r>
      <w:r w:rsidR="00724375">
        <w:rPr>
          <w:rFonts w:eastAsia="Times New Roman" w:cs="Arial"/>
        </w:rPr>
        <w:t>ecstasy</w:t>
      </w:r>
      <w:r>
        <w:rPr>
          <w:rFonts w:eastAsia="Times New Roman" w:cs="Arial"/>
        </w:rPr>
        <w:t xml:space="preserve"> , detachment, hope or solidarity lead to empathy.  The final condition cited by Corneille is a rich imagination shaped by religious symbolism.</w:t>
      </w:r>
      <w:r>
        <w:rPr>
          <w:rStyle w:val="FootnoteReference"/>
          <w:rFonts w:eastAsia="Times New Roman" w:cs="Arial"/>
        </w:rPr>
        <w:footnoteReference w:id="60"/>
      </w:r>
      <w:r>
        <w:rPr>
          <w:rFonts w:eastAsia="Times New Roman" w:cs="Arial"/>
        </w:rPr>
        <w:br/>
      </w:r>
    </w:p>
    <w:p w:rsidR="0020637A" w:rsidRDefault="0020637A" w:rsidP="005C2127">
      <w:pPr>
        <w:spacing w:line="480" w:lineRule="auto"/>
        <w:rPr>
          <w:rFonts w:eastAsia="Times New Roman" w:cs="Arial"/>
          <w:i/>
        </w:rPr>
      </w:pPr>
      <w:r>
        <w:rPr>
          <w:rFonts w:eastAsia="Times New Roman" w:cs="Arial"/>
        </w:rPr>
        <w:t>This understanding of empathy is perhaps the essence of the list of virtues</w:t>
      </w:r>
      <w:r w:rsidR="00CC4612">
        <w:rPr>
          <w:rFonts w:eastAsia="Times New Roman" w:cs="Arial"/>
        </w:rPr>
        <w:t xml:space="preserve"> categorised in the Relationship Former descriptors</w:t>
      </w:r>
      <w:r>
        <w:rPr>
          <w:rFonts w:eastAsia="Times New Roman" w:cs="Arial"/>
        </w:rPr>
        <w:t xml:space="preserve"> suggested in the additional descriptors for both deacons and those who minister in multi-faith contexts</w:t>
      </w:r>
      <w:r w:rsidR="00CC4612">
        <w:rPr>
          <w:rFonts w:eastAsia="Times New Roman" w:cs="Arial"/>
        </w:rPr>
        <w:t xml:space="preserve"> (Appendix </w:t>
      </w:r>
      <w:r w:rsidR="000E52E0">
        <w:rPr>
          <w:rFonts w:eastAsia="Times New Roman" w:cs="Arial"/>
        </w:rPr>
        <w:t>4, Table 2</w:t>
      </w:r>
      <w:r w:rsidR="00CC4612">
        <w:rPr>
          <w:rFonts w:eastAsia="Times New Roman" w:cs="Arial"/>
        </w:rPr>
        <w:t>)</w:t>
      </w:r>
      <w:r>
        <w:rPr>
          <w:rFonts w:eastAsia="Times New Roman" w:cs="Arial"/>
        </w:rPr>
        <w:t xml:space="preserve">. It seems to be the most personal of Corneille’s virtues and suggests a deep and sustained engagement with faith, a wealth of experience and a poetic sensibility honed by religious practice. But it also calls for the boundary-dweller to respond to the depth of engagement by looking outwards to those of other faiths rather than becoming more and more involved in the life of the institution of the Church. It calls for the dual belonging identified as a hall-mark of diaconal ministry many of the respondents answering the question; </w:t>
      </w:r>
      <w:r w:rsidRPr="0020637A">
        <w:rPr>
          <w:rFonts w:eastAsia="Times New Roman" w:cs="Arial"/>
          <w:i/>
        </w:rPr>
        <w:t>What is distinctiv</w:t>
      </w:r>
      <w:r w:rsidR="00724375">
        <w:rPr>
          <w:rFonts w:eastAsia="Times New Roman" w:cs="Arial"/>
          <w:i/>
        </w:rPr>
        <w:t>e about your diaconal ministry?</w:t>
      </w:r>
    </w:p>
    <w:p w:rsidR="0020637A" w:rsidRPr="0020637A" w:rsidRDefault="0020637A" w:rsidP="005C2127">
      <w:pPr>
        <w:spacing w:line="480" w:lineRule="auto"/>
        <w:rPr>
          <w:rFonts w:eastAsia="Times New Roman" w:cs="Arial"/>
        </w:rPr>
      </w:pPr>
      <w:r>
        <w:rPr>
          <w:rFonts w:eastAsia="Times New Roman" w:cs="Arial"/>
        </w:rPr>
        <w:t>Generous love identifies this work of empathy as a response to the unrestricted work of the Spirit which calls us to identify shared purposes and affirm the spiritual values of life.  Engaging in contexts of religious diversity and conflict means both contributing to and drawing from the sources of energy in our society which lead to transformation. The document also emphasises the importance of dialogue and understanding going beyond the cerebral quoting John Wesley as saying: “though we cannot think alike yet we may love alike, and that we might be of one heart though we are not of one opinion.”</w:t>
      </w:r>
      <w:r>
        <w:rPr>
          <w:rStyle w:val="FootnoteReference"/>
          <w:rFonts w:eastAsia="Times New Roman" w:cs="Arial"/>
        </w:rPr>
        <w:footnoteReference w:id="61"/>
      </w:r>
    </w:p>
    <w:p w:rsidR="0020637A" w:rsidRDefault="0020637A" w:rsidP="005C2127">
      <w:pPr>
        <w:spacing w:line="480" w:lineRule="auto"/>
        <w:rPr>
          <w:rFonts w:eastAsia="Times New Roman" w:cs="Arial"/>
        </w:rPr>
      </w:pPr>
      <w:r>
        <w:rPr>
          <w:rFonts w:eastAsia="Times New Roman" w:cs="Arial"/>
        </w:rPr>
        <w:t xml:space="preserve">However within this empathetic framework of collaboration, mediation and dialogue, </w:t>
      </w:r>
      <w:r w:rsidRPr="002845B1">
        <w:rPr>
          <w:rFonts w:eastAsia="Times New Roman" w:cs="Arial"/>
          <w:i/>
        </w:rPr>
        <w:t>Generous Love</w:t>
      </w:r>
      <w:r>
        <w:rPr>
          <w:rFonts w:eastAsia="Times New Roman" w:cs="Arial"/>
        </w:rPr>
        <w:t xml:space="preserve"> allows for the possibility of evangelism and subsequent conversion. This emphasis is perhaps most aptly reflected in the descriptor for deacons as </w:t>
      </w:r>
      <w:r w:rsidRPr="0020637A">
        <w:rPr>
          <w:rFonts w:eastAsia="Times New Roman" w:cs="Arial"/>
          <w:i/>
        </w:rPr>
        <w:t>animator of faith</w:t>
      </w:r>
      <w:r>
        <w:rPr>
          <w:rFonts w:eastAsia="Times New Roman" w:cs="Arial"/>
        </w:rPr>
        <w:t xml:space="preserve"> although the term </w:t>
      </w:r>
      <w:r w:rsidRPr="0020637A">
        <w:rPr>
          <w:rFonts w:eastAsia="Times New Roman" w:cs="Arial"/>
          <w:i/>
        </w:rPr>
        <w:t>missionary</w:t>
      </w:r>
      <w:r>
        <w:rPr>
          <w:rFonts w:eastAsia="Times New Roman" w:cs="Arial"/>
        </w:rPr>
        <w:t xml:space="preserve"> was recognised as an apt descriptor by both Methodist deacons and those responding to suggested descriptors for ministers working in a multi-faith context.</w:t>
      </w:r>
    </w:p>
    <w:p w:rsidR="0020637A" w:rsidRPr="008A7E95" w:rsidRDefault="008A7E95" w:rsidP="005C2127">
      <w:pPr>
        <w:pStyle w:val="Heading2"/>
        <w:spacing w:line="480" w:lineRule="auto"/>
        <w:rPr>
          <w:rFonts w:eastAsia="Times New Roman" w:cs="Arial"/>
        </w:rPr>
      </w:pPr>
      <w:bookmarkStart w:id="23" w:name="_Toc428110565"/>
      <w:r w:rsidRPr="008A7E95">
        <w:rPr>
          <w:rFonts w:eastAsia="Times New Roman" w:cs="Arial"/>
        </w:rPr>
        <w:t>HOSPITALITY</w:t>
      </w:r>
      <w:bookmarkEnd w:id="23"/>
    </w:p>
    <w:p w:rsidR="0020637A" w:rsidRDefault="0020637A" w:rsidP="005C2127">
      <w:pPr>
        <w:spacing w:line="480" w:lineRule="auto"/>
        <w:rPr>
          <w:rFonts w:eastAsia="Times New Roman" w:cs="Arial"/>
        </w:rPr>
      </w:pPr>
      <w:r>
        <w:rPr>
          <w:rFonts w:eastAsia="Times New Roman" w:cs="Arial"/>
        </w:rPr>
        <w:t xml:space="preserve">It is interesting that both Corneille’s final virtue and the </w:t>
      </w:r>
      <w:r w:rsidR="008063B4">
        <w:rPr>
          <w:rFonts w:eastAsia="Times New Roman" w:cs="Arial"/>
        </w:rPr>
        <w:t>seventh</w:t>
      </w:r>
      <w:r>
        <w:rPr>
          <w:rFonts w:eastAsia="Times New Roman" w:cs="Arial"/>
        </w:rPr>
        <w:t xml:space="preserve"> chapter of </w:t>
      </w:r>
      <w:r w:rsidRPr="00113478">
        <w:rPr>
          <w:rFonts w:eastAsia="Times New Roman" w:cs="Arial"/>
          <w:i/>
        </w:rPr>
        <w:t>Generous Love</w:t>
      </w:r>
      <w:r>
        <w:rPr>
          <w:rFonts w:eastAsia="Times New Roman" w:cs="Arial"/>
        </w:rPr>
        <w:t xml:space="preserve"> are focussed on hospitality, the leitmotif of the diaconate.</w:t>
      </w:r>
      <w:r w:rsidR="00D05EA3">
        <w:rPr>
          <w:rFonts w:eastAsia="Times New Roman" w:cs="Arial"/>
        </w:rPr>
        <w:t xml:space="preserve"> Hospitality is expressed by the deacon’s positioning literally and metaphorically at the doorway of church,</w:t>
      </w:r>
      <w:r w:rsidR="00D05EA3">
        <w:rPr>
          <w:rStyle w:val="FootnoteReference"/>
          <w:rFonts w:eastAsia="Times New Roman" w:cs="Arial"/>
        </w:rPr>
        <w:footnoteReference w:id="62"/>
      </w:r>
      <w:r w:rsidR="00D05EA3">
        <w:rPr>
          <w:rFonts w:eastAsia="Times New Roman" w:cs="Arial"/>
        </w:rPr>
        <w:t xml:space="preserve"> in the liturgical role at the altar, in the crossing of thresholds in the community, in the leading of intercessions </w:t>
      </w:r>
      <w:r w:rsidR="00493132">
        <w:rPr>
          <w:rFonts w:eastAsia="Times New Roman" w:cs="Arial"/>
        </w:rPr>
        <w:t>and the solidarity with those on the margins of society.</w:t>
      </w:r>
    </w:p>
    <w:p w:rsidR="00226AB5" w:rsidRPr="00493132" w:rsidRDefault="00493132" w:rsidP="005C2127">
      <w:pPr>
        <w:spacing w:line="480" w:lineRule="auto"/>
        <w:rPr>
          <w:rFonts w:ascii="Arial" w:eastAsia="Times New Roman" w:hAnsi="Arial" w:cs="Arial"/>
        </w:rPr>
      </w:pPr>
      <w:r>
        <w:rPr>
          <w:rFonts w:eastAsia="Times New Roman" w:cs="Arial"/>
        </w:rPr>
        <w:t xml:space="preserve">A document about diaconate produced by Sheffield Diocese says: </w:t>
      </w:r>
      <w:r w:rsidRPr="00493132">
        <w:rPr>
          <w:rFonts w:eastAsia="Times New Roman" w:cs="Arial"/>
        </w:rPr>
        <w:t>“</w:t>
      </w:r>
      <w:r w:rsidR="00226AB5" w:rsidRPr="00493132">
        <w:rPr>
          <w:rFonts w:eastAsia="Times New Roman" w:cs="Arial"/>
        </w:rPr>
        <w:t>The deacon’s spirituality can be summed up as offering hospitality to the stranger something which the people of God in the Old Testament were commanded to do (e</w:t>
      </w:r>
      <w:r w:rsidR="002845B1">
        <w:rPr>
          <w:rFonts w:eastAsia="Times New Roman" w:cs="Arial"/>
        </w:rPr>
        <w:t>.</w:t>
      </w:r>
      <w:r w:rsidR="00226AB5" w:rsidRPr="00493132">
        <w:rPr>
          <w:rFonts w:eastAsia="Times New Roman" w:cs="Arial"/>
        </w:rPr>
        <w:t>g</w:t>
      </w:r>
      <w:r w:rsidR="002845B1">
        <w:rPr>
          <w:rFonts w:eastAsia="Times New Roman" w:cs="Arial"/>
        </w:rPr>
        <w:t>.</w:t>
      </w:r>
      <w:r w:rsidR="00226AB5" w:rsidRPr="00493132">
        <w:rPr>
          <w:rFonts w:eastAsia="Times New Roman" w:cs="Arial"/>
        </w:rPr>
        <w:t xml:space="preserve"> Gen 18:108, Lev 19:34, Prov 31:20). They are liminal people standing on the boundary between church and the wider community and making connections between the two.</w:t>
      </w:r>
      <w:r w:rsidRPr="00493132">
        <w:rPr>
          <w:rFonts w:eastAsia="Times New Roman" w:cs="Arial"/>
        </w:rPr>
        <w:t>”</w:t>
      </w:r>
      <w:r>
        <w:rPr>
          <w:rStyle w:val="FootnoteReference"/>
          <w:rFonts w:eastAsia="Times New Roman" w:cs="Arial"/>
        </w:rPr>
        <w:footnoteReference w:id="63"/>
      </w:r>
    </w:p>
    <w:p w:rsidR="00493132" w:rsidRDefault="00493132" w:rsidP="005C2127">
      <w:pPr>
        <w:spacing w:line="480" w:lineRule="auto"/>
      </w:pPr>
      <w:r>
        <w:t>Corneille gives hospitality a particular definition as the ‘generous openness to the (possible) presence of truth in the other religion.</w:t>
      </w:r>
      <w:r>
        <w:rPr>
          <w:rStyle w:val="FootnoteReference"/>
        </w:rPr>
        <w:footnoteReference w:id="64"/>
      </w:r>
      <w:r>
        <w:t xml:space="preserve"> In particular Corneille sees hospitality expressed in the</w:t>
      </w:r>
      <w:r w:rsidR="00613394">
        <w:t xml:space="preserve"> recognition of truth in the </w:t>
      </w:r>
      <w:r w:rsidR="00613394" w:rsidRPr="00613394">
        <w:rPr>
          <w:b/>
        </w:rPr>
        <w:t>difference</w:t>
      </w:r>
      <w:r w:rsidR="00613394">
        <w:rPr>
          <w:b/>
        </w:rPr>
        <w:t xml:space="preserve"> </w:t>
      </w:r>
      <w:r w:rsidR="00613394">
        <w:t xml:space="preserve">as well as in the </w:t>
      </w:r>
      <w:r w:rsidR="00613394" w:rsidRPr="00613394">
        <w:rPr>
          <w:b/>
        </w:rPr>
        <w:t xml:space="preserve">similarities </w:t>
      </w:r>
      <w:r w:rsidR="00613394">
        <w:t>of religion.</w:t>
      </w:r>
    </w:p>
    <w:p w:rsidR="00613394" w:rsidRPr="00613394" w:rsidRDefault="00613394" w:rsidP="005C2127">
      <w:pPr>
        <w:spacing w:line="480" w:lineRule="auto"/>
      </w:pPr>
      <w:r>
        <w:t>She concludes: “To make progress – to grow – is to immediately push the limits of religious hospitality toward still greater openness to truth in difference, which is also to say, to truth that makes a difference.”</w:t>
      </w:r>
      <w:r>
        <w:rPr>
          <w:rStyle w:val="FootnoteReference"/>
        </w:rPr>
        <w:footnoteReference w:id="65"/>
      </w:r>
    </w:p>
    <w:p w:rsidR="00493132" w:rsidRDefault="00613394" w:rsidP="005C2127">
      <w:pPr>
        <w:spacing w:line="480" w:lineRule="auto"/>
      </w:pPr>
      <w:r>
        <w:t xml:space="preserve">This kind of hospitality links with the descriptors </w:t>
      </w:r>
      <w:r w:rsidR="00CC4612">
        <w:t xml:space="preserve">categorised in the Animator of Faith grouping </w:t>
      </w:r>
      <w:r>
        <w:t xml:space="preserve">found in the additional descriptors given to both deacons and those whom minister in multi-faith contexts. </w:t>
      </w:r>
    </w:p>
    <w:p w:rsidR="000809A8" w:rsidRDefault="000809A8" w:rsidP="005C2127">
      <w:pPr>
        <w:spacing w:line="480" w:lineRule="auto"/>
      </w:pPr>
      <w:r>
        <w:t>Generous love talks about hospitality in relation to embassy, describing two poles of mission that involve both going out and welcoming in.</w:t>
      </w:r>
      <w:r>
        <w:rPr>
          <w:rStyle w:val="FootnoteReference"/>
        </w:rPr>
        <w:footnoteReference w:id="66"/>
      </w:r>
      <w:r>
        <w:t xml:space="preserve"> This understanding reflects the missionary/pioneer understandings of diaconate ministry that particularly resonated with Methodist respondents to the questionnaire.</w:t>
      </w:r>
    </w:p>
    <w:p w:rsidR="00493132" w:rsidRDefault="000809A8" w:rsidP="005C2127">
      <w:pPr>
        <w:spacing w:line="480" w:lineRule="auto"/>
      </w:pPr>
      <w:r>
        <w:t>However the document goes on to describe the giving and receiving of hospitality as a sign of reconciliation as strangers become friends and makes the same link with truth-finding as Corneille maker in her understanding of hospitality. It says; “Through sharing hospitality we are pointed again to a central theme of the Gospel which we can easily forget; we are re-evangelised through a gracious encounter with other people</w:t>
      </w:r>
      <w:r w:rsidR="008063B4">
        <w:t>.”</w:t>
      </w:r>
      <w:r w:rsidR="008063B4">
        <w:rPr>
          <w:rStyle w:val="FootnoteReference"/>
        </w:rPr>
        <w:footnoteReference w:id="67"/>
      </w:r>
    </w:p>
    <w:p w:rsidR="008063B4" w:rsidRDefault="008063B4" w:rsidP="005C2127">
      <w:pPr>
        <w:spacing w:line="480" w:lineRule="auto"/>
      </w:pPr>
      <w:r>
        <w:t>Links are also made to the Eucharist and the necessity for the work of trust-building, or relationship forming, to precede genuine hospitality. Reconciliation and relationship forming were both descriptors which demonstrated the overlapping roles of a deacon and a minister in a multi-faith context.</w:t>
      </w:r>
    </w:p>
    <w:p w:rsidR="008063B4" w:rsidRPr="0029657C" w:rsidRDefault="0029657C" w:rsidP="005C2127">
      <w:pPr>
        <w:spacing w:line="480" w:lineRule="auto"/>
      </w:pPr>
      <w:r>
        <w:t xml:space="preserve">In his book, </w:t>
      </w:r>
      <w:r w:rsidRPr="0029657C">
        <w:rPr>
          <w:i/>
        </w:rPr>
        <w:t>The Politics of Discipleship</w:t>
      </w:r>
      <w:r>
        <w:t xml:space="preserve"> Graham Ward offers a reflection on the parable of the sheep and the goats that focussed on the need for hospitality and other acts of service to be received, as well as given. He says: </w:t>
      </w:r>
    </w:p>
    <w:p w:rsidR="005C2DB3" w:rsidRDefault="0029657C" w:rsidP="005C2127">
      <w:pPr>
        <w:spacing w:line="480" w:lineRule="auto"/>
        <w:ind w:left="360"/>
      </w:pPr>
      <w:r>
        <w:t>“</w:t>
      </w:r>
      <w:r w:rsidR="00724375">
        <w:t>T</w:t>
      </w:r>
      <w:r w:rsidR="005C2DB3">
        <w:t>here is no insider or outsider in Christ and therefore in the operations of the body of Christ. Those who act and those who are recipients of such actions are all incorporated into Christ, in an eternal recipricocity of giver and given.....Those who do not act become the excluded because they could not receive the gift of Christ that was given, just as the refusal of food, drink, clothing, a prison visit or hospitality prohibits the performance of the body of Christ. Political discipleship thus begins with being able to receive the gift.</w:t>
      </w:r>
      <w:r>
        <w:t>”</w:t>
      </w:r>
      <w:r>
        <w:rPr>
          <w:rStyle w:val="FootnoteReference"/>
        </w:rPr>
        <w:footnoteReference w:id="68"/>
      </w:r>
      <w:r w:rsidR="005C2DB3">
        <w:t xml:space="preserve">        </w:t>
      </w:r>
    </w:p>
    <w:p w:rsidR="0029657C" w:rsidRDefault="0029657C" w:rsidP="005C2127">
      <w:pPr>
        <w:spacing w:line="480" w:lineRule="auto"/>
      </w:pPr>
      <w:r>
        <w:rPr>
          <w:rFonts w:eastAsia="Times New Roman" w:cs="Arial"/>
        </w:rPr>
        <w:t>This idea of the ability to receive being as important as that which is offered ties in with Torrance’s understanding of the role of the Deacon in the Eucharist. John N Collins quotes Torrance as suggesting: “</w:t>
      </w:r>
      <w:r w:rsidR="00E634A3">
        <w:t>T</w:t>
      </w:r>
      <w:r>
        <w:t xml:space="preserve">hat the ministry of dispensing the Word and Sacraments </w:t>
      </w:r>
      <w:r w:rsidRPr="002B5DFB">
        <w:rPr>
          <w:i/>
        </w:rPr>
        <w:t>to</w:t>
      </w:r>
      <w:r>
        <w:rPr>
          <w:i/>
        </w:rPr>
        <w:t xml:space="preserve"> </w:t>
      </w:r>
      <w:r>
        <w:t>the congregation is the work of an especially ordained minister. This ministry would be complemented by the ministry of deacons to ‘help the people in their reception of the Word and in their participation of the Sacraments, and to seek the fruit of the Gospel in the faith and life of the community.</w:t>
      </w:r>
      <w:r w:rsidR="00E634A3">
        <w:t>’”</w:t>
      </w:r>
      <w:r w:rsidR="00E634A3">
        <w:rPr>
          <w:rStyle w:val="FootnoteReference"/>
        </w:rPr>
        <w:footnoteReference w:id="69"/>
      </w:r>
    </w:p>
    <w:p w:rsidR="00E634A3" w:rsidRDefault="00E634A3" w:rsidP="005C2127">
      <w:pPr>
        <w:spacing w:line="480" w:lineRule="auto"/>
      </w:pPr>
      <w:r>
        <w:t xml:space="preserve">This ministry of enabling others to receive what is on offer from God seems to cut right to the heart of what it means to be a deacon and what it means to minister in a multi-faith context. </w:t>
      </w:r>
      <w:r w:rsidR="000C5C2F">
        <w:t>It links the key descriptors from literature such as Enabler o</w:t>
      </w:r>
      <w:r w:rsidR="00F504D4">
        <w:t xml:space="preserve">f Others, Relationship Former, </w:t>
      </w:r>
      <w:r w:rsidR="000C5C2F">
        <w:t>Connector, Animator of Faith and One who Prays. It is enabled by the nature of t</w:t>
      </w:r>
      <w:r w:rsidR="00716A4B">
        <w:t xml:space="preserve">he deacon as an ecclesial sign </w:t>
      </w:r>
      <w:r w:rsidR="000C5C2F">
        <w:t>and Minister of the Word and it calls for the practice of virtues such as humility, compassion, openness, generosity and empathy which underpin the inter-personal skills which allow the deacon to inhabit liminal spaces and cross boundaries.</w:t>
      </w:r>
    </w:p>
    <w:p w:rsidR="00B212C8" w:rsidRDefault="00F504D4" w:rsidP="005C2127">
      <w:pPr>
        <w:spacing w:line="480" w:lineRule="auto"/>
        <w:rPr>
          <w:rFonts w:eastAsia="Times New Roman" w:cs="Arial"/>
        </w:rPr>
      </w:pPr>
      <w:r>
        <w:rPr>
          <w:rFonts w:eastAsia="Times New Roman" w:cs="Arial"/>
        </w:rPr>
        <w:t xml:space="preserve">The virtues found in both Corneille’s writings and the </w:t>
      </w:r>
      <w:r w:rsidRPr="002845B1">
        <w:rPr>
          <w:rFonts w:eastAsia="Times New Roman" w:cs="Arial"/>
          <w:i/>
        </w:rPr>
        <w:t>Generous Love</w:t>
      </w:r>
      <w:r>
        <w:rPr>
          <w:rFonts w:eastAsia="Times New Roman" w:cs="Arial"/>
        </w:rPr>
        <w:t xml:space="preserve"> document offer both a confirmation of the suitability of the deacon to minister in a multi-faith context but also a challenge to the church about how it will form and resource such deacons so they are endowed with the skills and learning, the theology and context and most importantly the character and attributes to perform such a role</w:t>
      </w:r>
      <w:r w:rsidR="00716A4B">
        <w:rPr>
          <w:rFonts w:eastAsia="Times New Roman" w:cs="Arial"/>
        </w:rPr>
        <w:t xml:space="preserve"> and enable others to join in the dynamic of recipricocity</w:t>
      </w:r>
      <w:r>
        <w:rPr>
          <w:rFonts w:eastAsia="Times New Roman" w:cs="Arial"/>
        </w:rPr>
        <w:t>.</w:t>
      </w:r>
    </w:p>
    <w:p w:rsidR="00F504D4" w:rsidRDefault="00F504D4" w:rsidP="005C2127">
      <w:pPr>
        <w:spacing w:line="480" w:lineRule="auto"/>
        <w:rPr>
          <w:rFonts w:eastAsia="Times New Roman" w:cs="Arial"/>
        </w:rPr>
      </w:pPr>
      <w:r>
        <w:rPr>
          <w:rFonts w:eastAsia="Times New Roman" w:cs="Arial"/>
        </w:rPr>
        <w:t xml:space="preserve">That such a role is necessary seems to be understood by those who seek to understand it, those such as the authors of </w:t>
      </w:r>
      <w:r w:rsidRPr="00F504D4">
        <w:rPr>
          <w:rFonts w:eastAsia="Times New Roman" w:cs="Arial"/>
          <w:i/>
        </w:rPr>
        <w:t>Generous Love</w:t>
      </w:r>
      <w:r>
        <w:rPr>
          <w:rFonts w:eastAsia="Times New Roman" w:cs="Arial"/>
        </w:rPr>
        <w:t xml:space="preserve"> and the </w:t>
      </w:r>
      <w:r w:rsidRPr="00F504D4">
        <w:rPr>
          <w:rFonts w:eastAsia="Times New Roman" w:cs="Arial"/>
          <w:i/>
        </w:rPr>
        <w:t xml:space="preserve">Presence and Engagment </w:t>
      </w:r>
      <w:r>
        <w:rPr>
          <w:rFonts w:eastAsia="Times New Roman" w:cs="Arial"/>
        </w:rPr>
        <w:t>report. That the diaconate has a full and renewed role to play also seems to be understood by those who seek to understand it, such as the authors of the reports that appeared before General Synod and the passionate scholars and practitioners who advocate for this third order</w:t>
      </w:r>
      <w:r w:rsidR="00690BA9">
        <w:rPr>
          <w:rFonts w:eastAsia="Times New Roman" w:cs="Arial"/>
        </w:rPr>
        <w:t xml:space="preserve"> of ministry</w:t>
      </w:r>
      <w:r>
        <w:rPr>
          <w:rFonts w:eastAsia="Times New Roman" w:cs="Arial"/>
        </w:rPr>
        <w:t>. However in the literature I have reviewed no-one appears to have made the connection between the challenge of context facing the church and the opportunity for mission and ministry that has been largely disregarded in recent decades.</w:t>
      </w:r>
    </w:p>
    <w:p w:rsidR="0069642B" w:rsidRDefault="0069642B" w:rsidP="005C2127">
      <w:pPr>
        <w:pStyle w:val="Heading1"/>
        <w:spacing w:line="480" w:lineRule="auto"/>
        <w:rPr>
          <w:rFonts w:eastAsia="Times New Roman" w:cs="Arial"/>
          <w:b w:val="0"/>
        </w:rPr>
      </w:pPr>
      <w:bookmarkStart w:id="24" w:name="_Toc428110566"/>
      <w:r w:rsidRPr="00457034">
        <w:rPr>
          <w:rFonts w:eastAsia="Times New Roman" w:cs="Arial"/>
          <w:b w:val="0"/>
        </w:rPr>
        <w:t>Conclusions</w:t>
      </w:r>
      <w:bookmarkEnd w:id="24"/>
    </w:p>
    <w:p w:rsidR="00072A20" w:rsidRPr="00072A20" w:rsidRDefault="00072A20" w:rsidP="005C2127">
      <w:pPr>
        <w:spacing w:line="480" w:lineRule="auto"/>
      </w:pPr>
    </w:p>
    <w:p w:rsidR="00690BA9" w:rsidRDefault="00690BA9" w:rsidP="005C2127">
      <w:pPr>
        <w:spacing w:line="480" w:lineRule="auto"/>
        <w:rPr>
          <w:rFonts w:eastAsia="Times New Roman" w:cs="Arial"/>
        </w:rPr>
      </w:pPr>
      <w:r>
        <w:rPr>
          <w:rFonts w:eastAsia="Times New Roman" w:cs="Arial"/>
        </w:rPr>
        <w:t xml:space="preserve">Christianity is an incarnational faith and this exploration of ministry seems to suggest that both the ministry of the diaconate and ministry in a multi-faith context are centred on being rather than on doing. </w:t>
      </w:r>
    </w:p>
    <w:p w:rsidR="00690BA9" w:rsidRDefault="00690BA9" w:rsidP="005C2127">
      <w:pPr>
        <w:spacing w:line="480" w:lineRule="auto"/>
        <w:rPr>
          <w:rFonts w:eastAsia="Times New Roman" w:cs="Arial"/>
        </w:rPr>
      </w:pPr>
      <w:r>
        <w:rPr>
          <w:rFonts w:eastAsia="Times New Roman" w:cs="Arial"/>
        </w:rPr>
        <w:t>Virtues and dispositions shape the ministries and the people who minister</w:t>
      </w:r>
      <w:r w:rsidR="002845B1">
        <w:rPr>
          <w:rFonts w:eastAsia="Times New Roman" w:cs="Arial"/>
        </w:rPr>
        <w:t>:</w:t>
      </w:r>
      <w:r>
        <w:rPr>
          <w:rFonts w:eastAsia="Times New Roman" w:cs="Arial"/>
        </w:rPr>
        <w:t xml:space="preserve"> what they do and what they know is of secondary importance. This challenges the idea of a servant who simply and unquestioningly performs tasks on the instructions of other</w:t>
      </w:r>
      <w:r w:rsidR="002845B1">
        <w:rPr>
          <w:rFonts w:eastAsia="Times New Roman" w:cs="Arial"/>
        </w:rPr>
        <w:t>,</w:t>
      </w:r>
      <w:r>
        <w:rPr>
          <w:rFonts w:eastAsia="Times New Roman" w:cs="Arial"/>
        </w:rPr>
        <w:t xml:space="preserve"> but offers our imaginations a chance to reshape the understanding of a servant as a retainer, a trusted presence in the household or possibly a slave.</w:t>
      </w:r>
    </w:p>
    <w:p w:rsidR="00690BA9" w:rsidRDefault="00690BA9" w:rsidP="005C2127">
      <w:pPr>
        <w:spacing w:line="480" w:lineRule="auto"/>
        <w:rPr>
          <w:rFonts w:eastAsia="Times New Roman" w:cs="Arial"/>
        </w:rPr>
      </w:pPr>
      <w:r>
        <w:rPr>
          <w:rFonts w:eastAsia="Times New Roman" w:cs="Arial"/>
        </w:rPr>
        <w:t xml:space="preserve">This understanding of incarnational ministry as being the heart of ministry in a multi-faith context draws on the tradition of Cragg and others who shaped documents such as Jews, </w:t>
      </w:r>
      <w:r w:rsidRPr="00033299">
        <w:rPr>
          <w:rFonts w:eastAsia="Times New Roman" w:cs="Arial"/>
          <w:i/>
        </w:rPr>
        <w:t xml:space="preserve">Christians and Muslims:The Way of Dialogue </w:t>
      </w:r>
      <w:r w:rsidRPr="00033299">
        <w:rPr>
          <w:rFonts w:eastAsia="Times New Roman" w:cs="Arial"/>
        </w:rPr>
        <w:t>and</w:t>
      </w:r>
      <w:r w:rsidRPr="00033299">
        <w:rPr>
          <w:rFonts w:eastAsia="Times New Roman" w:cs="Arial"/>
          <w:i/>
        </w:rPr>
        <w:t xml:space="preserve"> Generous Love</w:t>
      </w:r>
      <w:r>
        <w:rPr>
          <w:rFonts w:eastAsia="Times New Roman" w:cs="Arial"/>
        </w:rPr>
        <w:t xml:space="preserve"> which have been prepared for Lambeth conferences in 1988 and </w:t>
      </w:r>
      <w:r w:rsidR="00033299">
        <w:rPr>
          <w:rFonts w:eastAsia="Times New Roman" w:cs="Arial"/>
        </w:rPr>
        <w:t>2008</w:t>
      </w:r>
      <w:r>
        <w:rPr>
          <w:rFonts w:eastAsia="Times New Roman" w:cs="Arial"/>
        </w:rPr>
        <w:t xml:space="preserve"> respectively.</w:t>
      </w:r>
    </w:p>
    <w:p w:rsidR="00033299" w:rsidRDefault="00033299" w:rsidP="005C2127">
      <w:pPr>
        <w:spacing w:line="480" w:lineRule="auto"/>
        <w:rPr>
          <w:rFonts w:eastAsia="Times New Roman" w:cs="Arial"/>
        </w:rPr>
      </w:pPr>
      <w:r>
        <w:rPr>
          <w:rFonts w:eastAsia="Times New Roman" w:cs="Arial"/>
        </w:rPr>
        <w:t>Sudworth describes the model of dialogue prepared for the 1998 conference as</w:t>
      </w:r>
      <w:r w:rsidR="002845B1">
        <w:rPr>
          <w:rFonts w:eastAsia="Times New Roman" w:cs="Arial"/>
        </w:rPr>
        <w:t xml:space="preserve"> “</w:t>
      </w:r>
      <w:r>
        <w:rPr>
          <w:rFonts w:eastAsia="Times New Roman" w:cs="Arial"/>
        </w:rPr>
        <w:t xml:space="preserve">...an </w:t>
      </w:r>
      <w:r w:rsidRPr="00033299">
        <w:rPr>
          <w:rFonts w:eastAsia="Times New Roman" w:cs="Arial"/>
          <w:i/>
        </w:rPr>
        <w:t xml:space="preserve">incarnational </w:t>
      </w:r>
      <w:r>
        <w:rPr>
          <w:rFonts w:eastAsia="Times New Roman" w:cs="Arial"/>
        </w:rPr>
        <w:t xml:space="preserve">model that forms the basis for the principles of “affirmation” and “sharing” which then follow in </w:t>
      </w:r>
      <w:r w:rsidRPr="00033299">
        <w:rPr>
          <w:rFonts w:eastAsia="Times New Roman" w:cs="Arial"/>
          <w:i/>
        </w:rPr>
        <w:t>The Way of Dialogue:</w:t>
      </w:r>
      <w:r>
        <w:rPr>
          <w:rFonts w:eastAsia="Times New Roman" w:cs="Arial"/>
          <w:i/>
        </w:rPr>
        <w:t xml:space="preserve"> </w:t>
      </w:r>
      <w:r>
        <w:rPr>
          <w:rFonts w:eastAsia="Times New Roman" w:cs="Arial"/>
        </w:rPr>
        <w:t>the affirmation of what is common between faiths, and the sharing of what is distinctive by way of the demands of the gospel on a foundation of relationship before God.”</w:t>
      </w:r>
      <w:r>
        <w:rPr>
          <w:rStyle w:val="FootnoteReference"/>
          <w:rFonts w:eastAsia="Times New Roman" w:cs="Arial"/>
        </w:rPr>
        <w:footnoteReference w:id="70"/>
      </w:r>
    </w:p>
    <w:p w:rsidR="00033299" w:rsidRDefault="00033299" w:rsidP="005C2127">
      <w:pPr>
        <w:spacing w:line="480" w:lineRule="auto"/>
        <w:rPr>
          <w:rFonts w:eastAsia="Times New Roman" w:cs="Arial"/>
        </w:rPr>
      </w:pPr>
      <w:r>
        <w:rPr>
          <w:rFonts w:eastAsia="Times New Roman" w:cs="Arial"/>
        </w:rPr>
        <w:t>He goes on to quote Cardinal Daniélou who</w:t>
      </w:r>
      <w:r w:rsidR="00175CF1">
        <w:rPr>
          <w:rFonts w:eastAsia="Times New Roman" w:cs="Arial"/>
        </w:rPr>
        <w:t>, writing just after the Second World War,</w:t>
      </w:r>
      <w:r>
        <w:rPr>
          <w:rFonts w:eastAsia="Times New Roman" w:cs="Arial"/>
        </w:rPr>
        <w:t xml:space="preserve"> talks about the kenotic demand of ministry on those who seek to exemplify a </w:t>
      </w:r>
      <w:r w:rsidR="002845B1">
        <w:rPr>
          <w:rFonts w:eastAsia="Times New Roman" w:cs="Arial"/>
        </w:rPr>
        <w:t>c</w:t>
      </w:r>
      <w:r>
        <w:rPr>
          <w:rFonts w:eastAsia="Times New Roman" w:cs="Arial"/>
        </w:rPr>
        <w:t>hrist</w:t>
      </w:r>
      <w:r w:rsidR="002845B1">
        <w:rPr>
          <w:rFonts w:eastAsia="Times New Roman" w:cs="Arial"/>
        </w:rPr>
        <w:t>i</w:t>
      </w:r>
      <w:r>
        <w:rPr>
          <w:rFonts w:eastAsia="Times New Roman" w:cs="Arial"/>
        </w:rPr>
        <w:t xml:space="preserve">an </w:t>
      </w:r>
      <w:r w:rsidR="002845B1">
        <w:rPr>
          <w:rFonts w:eastAsia="Times New Roman" w:cs="Arial"/>
        </w:rPr>
        <w:t>p</w:t>
      </w:r>
      <w:r>
        <w:rPr>
          <w:rFonts w:eastAsia="Times New Roman" w:cs="Arial"/>
        </w:rPr>
        <w:t xml:space="preserve">resence. Daniélou calls this a </w:t>
      </w:r>
      <w:r w:rsidR="00175CF1">
        <w:rPr>
          <w:rFonts w:eastAsia="Times New Roman" w:cs="Arial"/>
        </w:rPr>
        <w:t>“far reaching dispossession” and identifies a “spirituality of incarnation” which is alive to “all th</w:t>
      </w:r>
      <w:r w:rsidR="001360BA">
        <w:rPr>
          <w:rFonts w:eastAsia="Times New Roman" w:cs="Arial"/>
        </w:rPr>
        <w:t>at</w:t>
      </w:r>
      <w:r w:rsidR="00175CF1">
        <w:rPr>
          <w:rFonts w:eastAsia="Times New Roman" w:cs="Arial"/>
        </w:rPr>
        <w:t xml:space="preserve"> is good in these worlds” and “must understand these lands, espouse their cultures, and we cannot do this without genuine sympathy.”</w:t>
      </w:r>
      <w:r w:rsidR="00175CF1">
        <w:rPr>
          <w:rStyle w:val="FootnoteReference"/>
          <w:rFonts w:eastAsia="Times New Roman" w:cs="Arial"/>
        </w:rPr>
        <w:footnoteReference w:id="71"/>
      </w:r>
    </w:p>
    <w:p w:rsidR="00175CF1" w:rsidRDefault="00175CF1" w:rsidP="005C2127">
      <w:pPr>
        <w:spacing w:line="480" w:lineRule="auto"/>
        <w:rPr>
          <w:rFonts w:eastAsia="Times New Roman" w:cs="Arial"/>
        </w:rPr>
      </w:pPr>
      <w:r>
        <w:rPr>
          <w:rFonts w:eastAsia="Times New Roman" w:cs="Arial"/>
        </w:rPr>
        <w:t xml:space="preserve">This emphasis of </w:t>
      </w:r>
      <w:r w:rsidRPr="00175CF1">
        <w:rPr>
          <w:rFonts w:eastAsia="Times New Roman" w:cs="Arial"/>
          <w:b/>
        </w:rPr>
        <w:t xml:space="preserve">being </w:t>
      </w:r>
      <w:r>
        <w:rPr>
          <w:rFonts w:eastAsia="Times New Roman" w:cs="Arial"/>
        </w:rPr>
        <w:t xml:space="preserve">with people of different faiths, perhaps as a deacon, softens the debate about whether proclamation or dialogue is the best thing to </w:t>
      </w:r>
      <w:r w:rsidRPr="00175CF1">
        <w:rPr>
          <w:rFonts w:eastAsia="Times New Roman" w:cs="Arial"/>
          <w:b/>
        </w:rPr>
        <w:t>do</w:t>
      </w:r>
      <w:r>
        <w:rPr>
          <w:rFonts w:eastAsia="Times New Roman" w:cs="Arial"/>
        </w:rPr>
        <w:t>. However this common dichotomy between evangelism and dialogue is challenged by Cragg who is also quoted by Sudworth as stating that there are not t</w:t>
      </w:r>
      <w:r w:rsidR="001360BA">
        <w:rPr>
          <w:rFonts w:eastAsia="Times New Roman" w:cs="Arial"/>
        </w:rPr>
        <w:t>w</w:t>
      </w:r>
      <w:r>
        <w:rPr>
          <w:rFonts w:eastAsia="Times New Roman" w:cs="Arial"/>
        </w:rPr>
        <w:t>o parallel paths for Christians, but one path of kenosis that leads to an embodied, incarnation witness which is intrinsic to Christian Presence.</w:t>
      </w:r>
      <w:r>
        <w:rPr>
          <w:rStyle w:val="FootnoteReference"/>
          <w:rFonts w:eastAsia="Times New Roman" w:cs="Arial"/>
        </w:rPr>
        <w:footnoteReference w:id="72"/>
      </w:r>
      <w:r>
        <w:rPr>
          <w:rFonts w:eastAsia="Times New Roman" w:cs="Arial"/>
        </w:rPr>
        <w:t xml:space="preserve"> This reflects the linking of ideas of envoy, emissary and </w:t>
      </w:r>
      <w:r w:rsidR="00E7114C">
        <w:rPr>
          <w:rFonts w:eastAsia="Times New Roman" w:cs="Arial"/>
        </w:rPr>
        <w:t>missionary in the descriptors with ideas of enabling others, animating faith and interpreting and connecting. Taken together these descriptors suggest a life of kenotic witness characterised by a diaconal ministry within a multi-faith context.</w:t>
      </w:r>
    </w:p>
    <w:p w:rsidR="00175CF1" w:rsidRDefault="00175CF1" w:rsidP="005C2127">
      <w:pPr>
        <w:spacing w:line="480" w:lineRule="auto"/>
        <w:rPr>
          <w:rFonts w:eastAsia="Times New Roman" w:cs="Arial"/>
        </w:rPr>
      </w:pPr>
      <w:r>
        <w:rPr>
          <w:rFonts w:eastAsia="Times New Roman" w:cs="Arial"/>
        </w:rPr>
        <w:t>Hospitality, as understood by Cragg, is part of this witness as it “speaks of the incarnation of Christ in vulnerable self emptying</w:t>
      </w:r>
      <w:r w:rsidR="00E7114C">
        <w:rPr>
          <w:rFonts w:eastAsia="Times New Roman" w:cs="Arial"/>
        </w:rPr>
        <w:t>: God as guest in the world.”</w:t>
      </w:r>
      <w:r w:rsidR="00E7114C">
        <w:rPr>
          <w:rStyle w:val="FootnoteReference"/>
          <w:rFonts w:eastAsia="Times New Roman" w:cs="Arial"/>
        </w:rPr>
        <w:footnoteReference w:id="73"/>
      </w:r>
      <w:r w:rsidR="00E7114C">
        <w:rPr>
          <w:rFonts w:eastAsia="Times New Roman" w:cs="Arial"/>
        </w:rPr>
        <w:t xml:space="preserve"> Images of hospitality quickly resonate with images of Eucharist and then remind us of Torrances’s understanding of the deacon not as the one who gives the food but as the one who helps others receive.</w:t>
      </w:r>
      <w:r w:rsidR="00E7114C">
        <w:rPr>
          <w:rStyle w:val="FootnoteReference"/>
          <w:rFonts w:eastAsia="Times New Roman" w:cs="Arial"/>
        </w:rPr>
        <w:footnoteReference w:id="74"/>
      </w:r>
    </w:p>
    <w:p w:rsidR="00E7114C" w:rsidRDefault="00E7114C" w:rsidP="005C2127">
      <w:pPr>
        <w:spacing w:line="480" w:lineRule="auto"/>
        <w:rPr>
          <w:rFonts w:eastAsia="Times New Roman" w:cs="Arial"/>
        </w:rPr>
      </w:pPr>
      <w:r>
        <w:rPr>
          <w:rFonts w:eastAsia="Times New Roman" w:cs="Arial"/>
        </w:rPr>
        <w:t xml:space="preserve">The understanding of the liturgy of hospitality as enacted in the Eucharist also links with the understanding articulated at the Vancouver assembly of the World Council of churches that </w:t>
      </w:r>
      <w:r w:rsidRPr="00E7114C">
        <w:rPr>
          <w:rFonts w:eastAsia="Times New Roman" w:cs="Arial"/>
          <w:i/>
        </w:rPr>
        <w:t>diakonia</w:t>
      </w:r>
      <w:r>
        <w:rPr>
          <w:rFonts w:eastAsia="Times New Roman" w:cs="Arial"/>
        </w:rPr>
        <w:t xml:space="preserve"> is the </w:t>
      </w:r>
      <w:r w:rsidR="002845B1">
        <w:rPr>
          <w:rFonts w:eastAsia="Times New Roman" w:cs="Arial"/>
        </w:rPr>
        <w:t>‘</w:t>
      </w:r>
      <w:r>
        <w:rPr>
          <w:rFonts w:eastAsia="Times New Roman" w:cs="Arial"/>
        </w:rPr>
        <w:t>liturgy after the liturgy.</w:t>
      </w:r>
      <w:r w:rsidR="002845B1">
        <w:rPr>
          <w:rFonts w:eastAsia="Times New Roman" w:cs="Arial"/>
        </w:rPr>
        <w:t>’</w:t>
      </w:r>
    </w:p>
    <w:p w:rsidR="00E7114C" w:rsidRPr="00033299" w:rsidRDefault="00E7114C" w:rsidP="005C2127">
      <w:pPr>
        <w:spacing w:line="480" w:lineRule="auto"/>
        <w:rPr>
          <w:rFonts w:eastAsia="Times New Roman" w:cs="Arial"/>
        </w:rPr>
      </w:pPr>
      <w:r>
        <w:rPr>
          <w:rFonts w:eastAsia="Times New Roman" w:cs="Arial"/>
        </w:rPr>
        <w:t xml:space="preserve">It is interesting that this statement presents an understanding of </w:t>
      </w:r>
      <w:r w:rsidRPr="00E7114C">
        <w:rPr>
          <w:rFonts w:eastAsia="Times New Roman" w:cs="Arial"/>
          <w:i/>
        </w:rPr>
        <w:t>diakonia</w:t>
      </w:r>
      <w:r>
        <w:rPr>
          <w:rFonts w:eastAsia="Times New Roman" w:cs="Arial"/>
        </w:rPr>
        <w:t xml:space="preserve"> that arises from the very being of both individuals and the Church as a whole. </w:t>
      </w:r>
    </w:p>
    <w:p w:rsidR="0069642B" w:rsidRDefault="00E7114C" w:rsidP="005C2127">
      <w:pPr>
        <w:spacing w:line="480" w:lineRule="auto"/>
      </w:pPr>
      <w:r>
        <w:t xml:space="preserve"> </w:t>
      </w:r>
      <w:r w:rsidR="0069642B">
        <w:t xml:space="preserve">“The ‘liturgy after the liturgy’ is </w:t>
      </w:r>
      <w:r w:rsidR="0069642B" w:rsidRPr="001B7AAA">
        <w:rPr>
          <w:i/>
        </w:rPr>
        <w:t>diakonia</w:t>
      </w:r>
      <w:r w:rsidR="0069642B">
        <w:rPr>
          <w:i/>
        </w:rPr>
        <w:t xml:space="preserve">. Diakonia, </w:t>
      </w:r>
      <w:r w:rsidR="0069642B">
        <w:t xml:space="preserve">as the church’s ministry of sharing, healing and reconciliation is the very nature of the Church. It demands of individuals and churches a giving which comes not out of what they have, but what they are. </w:t>
      </w:r>
      <w:r w:rsidR="0069642B" w:rsidRPr="001B7AAA">
        <w:rPr>
          <w:i/>
        </w:rPr>
        <w:t>Diakonia</w:t>
      </w:r>
      <w:r w:rsidR="0069642B">
        <w:rPr>
          <w:i/>
        </w:rPr>
        <w:t xml:space="preserve"> </w:t>
      </w:r>
      <w:r w:rsidR="0069642B">
        <w:t xml:space="preserve">constantly has to challenge the frozen, static, self-centred structures of the church and transform them into living instruments of the sharing and </w:t>
      </w:r>
      <w:r>
        <w:t>healing ministry of the church.”</w:t>
      </w:r>
      <w:r>
        <w:rPr>
          <w:rStyle w:val="FootnoteReference"/>
        </w:rPr>
        <w:footnoteReference w:id="75"/>
      </w:r>
    </w:p>
    <w:p w:rsidR="00E7114C" w:rsidRDefault="00E7114C" w:rsidP="005C2127">
      <w:pPr>
        <w:spacing w:line="480" w:lineRule="auto"/>
        <w:rPr>
          <w:rFonts w:eastAsia="Times New Roman" w:cs="Arial"/>
        </w:rPr>
      </w:pPr>
      <w:r>
        <w:rPr>
          <w:rFonts w:eastAsia="Times New Roman" w:cs="Arial"/>
        </w:rPr>
        <w:t>Ministry in a multi-faith context and the role of deacons seems to be presenting challenges that cut to the heart of church ordering and structures in the contemporary Church of England. These twin challenges, as we have seen, have been largely ignored in recent documents as the Church seeks to emphasise numerical growth</w:t>
      </w:r>
      <w:r w:rsidR="00396827">
        <w:rPr>
          <w:rFonts w:eastAsia="Times New Roman" w:cs="Arial"/>
        </w:rPr>
        <w:t>, efficient structures and business-like development exemplified by the recent reports which constitute the Reform and Renew programme.</w:t>
      </w:r>
      <w:r w:rsidR="00396827">
        <w:rPr>
          <w:rStyle w:val="FootnoteReference"/>
          <w:rFonts w:eastAsia="Times New Roman" w:cs="Arial"/>
        </w:rPr>
        <w:footnoteReference w:id="76"/>
      </w:r>
    </w:p>
    <w:p w:rsidR="0069642B" w:rsidRDefault="00D847B0" w:rsidP="005C2127">
      <w:pPr>
        <w:spacing w:line="480" w:lineRule="auto"/>
        <w:rPr>
          <w:rFonts w:eastAsia="Times New Roman" w:cs="Arial"/>
        </w:rPr>
      </w:pPr>
      <w:r>
        <w:rPr>
          <w:rFonts w:eastAsia="Times New Roman" w:cs="Arial"/>
        </w:rPr>
        <w:t xml:space="preserve">The new understandings of </w:t>
      </w:r>
      <w:r w:rsidRPr="00D847B0">
        <w:rPr>
          <w:rFonts w:eastAsia="Times New Roman" w:cs="Arial"/>
          <w:i/>
        </w:rPr>
        <w:t>diakonia</w:t>
      </w:r>
      <w:r>
        <w:rPr>
          <w:rFonts w:eastAsia="Times New Roman" w:cs="Arial"/>
        </w:rPr>
        <w:t xml:space="preserve"> and the needs of clergy ministering in multi-faith contexts explored in the literature review, the massive overlap in the understanding of the ministry of a deacon and ministry in a multi-faith context and the shared emphasis on an incarnational ministry of hospitality all suggest there is a definite role for a deacon in a multi-faith setting.</w:t>
      </w:r>
    </w:p>
    <w:p w:rsidR="00D847B0" w:rsidRDefault="00D847B0" w:rsidP="005C2127">
      <w:pPr>
        <w:spacing w:line="480" w:lineRule="auto"/>
        <w:rPr>
          <w:rFonts w:eastAsia="Times New Roman" w:cs="Arial"/>
        </w:rPr>
      </w:pPr>
      <w:r>
        <w:rPr>
          <w:rFonts w:eastAsia="Times New Roman" w:cs="Arial"/>
        </w:rPr>
        <w:t>However in order to determine if there is a distinctive role for a deacon further research would need to be done to explore and contrast the understandings of diaconal and priestly ministry and then compare these findings to the demands and opportunities of ministry in a multi-faith context.</w:t>
      </w:r>
    </w:p>
    <w:p w:rsidR="00D847B0" w:rsidRDefault="00D847B0" w:rsidP="005C2127">
      <w:pPr>
        <w:spacing w:line="480" w:lineRule="auto"/>
        <w:rPr>
          <w:rFonts w:eastAsia="Times New Roman" w:cs="Arial"/>
        </w:rPr>
      </w:pPr>
      <w:r>
        <w:rPr>
          <w:rFonts w:eastAsia="Times New Roman" w:cs="Arial"/>
        </w:rPr>
        <w:t xml:space="preserve">One possible way to explore the contrasting ministries of priests and deacons in a religiously plural context might be to use the understandings of social capital elaborated by Alison Gilchrist and quoted in the </w:t>
      </w:r>
      <w:r w:rsidRPr="00D847B0">
        <w:rPr>
          <w:rFonts w:eastAsia="Times New Roman" w:cs="Arial"/>
          <w:i/>
        </w:rPr>
        <w:t>Faithful Cities</w:t>
      </w:r>
      <w:r>
        <w:rPr>
          <w:rFonts w:eastAsia="Times New Roman" w:cs="Arial"/>
        </w:rPr>
        <w:t xml:space="preserve"> report.</w:t>
      </w:r>
      <w:r>
        <w:rPr>
          <w:rStyle w:val="FootnoteReference"/>
          <w:rFonts w:eastAsia="Times New Roman" w:cs="Arial"/>
        </w:rPr>
        <w:footnoteReference w:id="77"/>
      </w:r>
      <w:r w:rsidR="00D70DFC">
        <w:rPr>
          <w:rFonts w:eastAsia="Times New Roman" w:cs="Arial"/>
        </w:rPr>
        <w:t xml:space="preserve"> Gilchrist identifies three kinds of social capital that can be generated:</w:t>
      </w:r>
    </w:p>
    <w:p w:rsidR="00D847B0" w:rsidRDefault="00D847B0" w:rsidP="005C2127">
      <w:pPr>
        <w:pStyle w:val="ListParagraph"/>
        <w:numPr>
          <w:ilvl w:val="0"/>
          <w:numId w:val="4"/>
        </w:numPr>
        <w:spacing w:line="480" w:lineRule="auto"/>
      </w:pPr>
      <w:r>
        <w:t>Bonding – based on enduring, multi-faceted relationships between similar people with strong mutual commitments such as among friends, family and other close-knit groups</w:t>
      </w:r>
    </w:p>
    <w:p w:rsidR="00D847B0" w:rsidRDefault="00D847B0" w:rsidP="005C2127">
      <w:pPr>
        <w:pStyle w:val="ListParagraph"/>
        <w:numPr>
          <w:ilvl w:val="0"/>
          <w:numId w:val="4"/>
        </w:numPr>
        <w:spacing w:line="480" w:lineRule="auto"/>
      </w:pPr>
      <w:r>
        <w:t>Bridging – formed from the connections between people who have less in common, but may have overlapping interests;  for example between neighbours, colleagues or between different groups within a community.</w:t>
      </w:r>
    </w:p>
    <w:p w:rsidR="00D847B0" w:rsidRDefault="00D847B0" w:rsidP="005C2127">
      <w:pPr>
        <w:pStyle w:val="ListParagraph"/>
        <w:numPr>
          <w:ilvl w:val="0"/>
          <w:numId w:val="4"/>
        </w:numPr>
        <w:spacing w:line="480" w:lineRule="auto"/>
      </w:pPr>
      <w:r>
        <w:t>Linking – derived from the links between people or organisations beyond peer boundaries, cutting across status and similarity and enabling people to exert influence and reach resources beyond their normal circles.</w:t>
      </w:r>
    </w:p>
    <w:p w:rsidR="00D847B0" w:rsidRDefault="00D847B0" w:rsidP="005C2127">
      <w:pPr>
        <w:spacing w:line="480" w:lineRule="auto"/>
        <w:rPr>
          <w:rFonts w:eastAsia="Times New Roman" w:cs="Arial"/>
        </w:rPr>
      </w:pPr>
      <w:r>
        <w:rPr>
          <w:rFonts w:eastAsia="Times New Roman" w:cs="Arial"/>
        </w:rPr>
        <w:t xml:space="preserve">While a parish priest operating in a diverse context might have elements of all three kinds of social </w:t>
      </w:r>
      <w:r w:rsidR="00D70DFC">
        <w:rPr>
          <w:rFonts w:eastAsia="Times New Roman" w:cs="Arial"/>
        </w:rPr>
        <w:t>capital it seems likely that the focus of their ministry would be on bonding whereas the focus of a Bishop’s ministry is on linking. A parish priest may well want to find time for bridging but the research conducted for the Presence and Engagement report indicates that this does not always happen. Generating bridging capital seems to be at the heart of diaconal ministry. Giving this focus to a colleague of the parish priest could well be liberating for the priest themselves, the people of the Church and the deacon. More research would need to be done to see if this hypothesis were supported in reality.</w:t>
      </w:r>
    </w:p>
    <w:p w:rsidR="00072A20" w:rsidRDefault="00D70DFC" w:rsidP="005C2127">
      <w:pPr>
        <w:spacing w:line="480" w:lineRule="auto"/>
        <w:rPr>
          <w:rFonts w:eastAsia="Times New Roman" w:cs="Arial"/>
        </w:rPr>
      </w:pPr>
      <w:r>
        <w:rPr>
          <w:rFonts w:eastAsia="Times New Roman" w:cs="Arial"/>
        </w:rPr>
        <w:t xml:space="preserve">Potentially, the best way to test the thesis that there is a distinctive role for a deacon in a multi-faith context would be to select, train, equip, deploy and resource deacons to work in this context. </w:t>
      </w:r>
      <w:r w:rsidR="00072A20">
        <w:rPr>
          <w:rFonts w:eastAsia="Times New Roman" w:cs="Arial"/>
        </w:rPr>
        <w:t>It would be perhaps a natural development from the Fresh Expressions initiative to</w:t>
      </w:r>
      <w:r w:rsidR="002845B1">
        <w:rPr>
          <w:rFonts w:eastAsia="Times New Roman" w:cs="Arial"/>
        </w:rPr>
        <w:t xml:space="preserve"> resource a movement of mission</w:t>
      </w:r>
      <w:r w:rsidR="00072A20">
        <w:rPr>
          <w:rFonts w:eastAsia="Times New Roman" w:cs="Arial"/>
        </w:rPr>
        <w:t xml:space="preserve"> enabled by pioneering deacons with a focus on working in a multi-faith context.</w:t>
      </w:r>
      <w:r w:rsidR="00072A20">
        <w:rPr>
          <w:rFonts w:eastAsia="Times New Roman" w:cs="Arial"/>
        </w:rPr>
        <w:br/>
      </w:r>
      <w:r w:rsidR="00072A20">
        <w:rPr>
          <w:rFonts w:eastAsia="Times New Roman" w:cs="Arial"/>
        </w:rPr>
        <w:br/>
      </w:r>
      <w:r w:rsidR="00304FDC">
        <w:rPr>
          <w:rFonts w:eastAsia="Times New Roman" w:cs="Arial"/>
        </w:rPr>
        <w:t>If the Church of England has the imagin</w:t>
      </w:r>
      <w:r w:rsidR="00457034">
        <w:rPr>
          <w:rFonts w:eastAsia="Times New Roman" w:cs="Arial"/>
        </w:rPr>
        <w:t>ation</w:t>
      </w:r>
      <w:r w:rsidR="00304FDC">
        <w:rPr>
          <w:rFonts w:eastAsia="Times New Roman" w:cs="Arial"/>
        </w:rPr>
        <w:t xml:space="preserve"> to see a new diaconate, in ‘faithful discontinuity’</w:t>
      </w:r>
      <w:r w:rsidR="00304FDC">
        <w:rPr>
          <w:rStyle w:val="FootnoteReference"/>
          <w:rFonts w:eastAsia="Times New Roman" w:cs="Arial"/>
        </w:rPr>
        <w:footnoteReference w:id="78"/>
      </w:r>
      <w:r w:rsidR="00304FDC">
        <w:rPr>
          <w:rFonts w:eastAsia="Times New Roman" w:cs="Arial"/>
        </w:rPr>
        <w:t xml:space="preserve"> with whom the deacon has always been seen to be</w:t>
      </w:r>
      <w:r w:rsidR="002845B1">
        <w:rPr>
          <w:rFonts w:eastAsia="Times New Roman" w:cs="Arial"/>
        </w:rPr>
        <w:t>,</w:t>
      </w:r>
      <w:r w:rsidR="00304FDC">
        <w:rPr>
          <w:rFonts w:eastAsia="Times New Roman" w:cs="Arial"/>
        </w:rPr>
        <w:t xml:space="preserve"> then perhaps there might emerge a new enthusiasm for incarnational missioners, who seek to bridge, serve and proclaim, who have a role in liturgy and a presence in the world and have committed themselves to a life of hospitality and virtue.</w:t>
      </w:r>
      <w:r w:rsidR="00072A20">
        <w:rPr>
          <w:rFonts w:eastAsia="Times New Roman" w:cs="Arial"/>
        </w:rPr>
        <w:t xml:space="preserve"> But there are a number of obstacles that are slowing down the renewal of the diaconate in the Church of England at the moment while there is a growing sense within the church that the institution must change to proclaim the Gospel afresh in each generation.</w:t>
      </w:r>
    </w:p>
    <w:p w:rsidR="008E4156" w:rsidRPr="008E4156" w:rsidRDefault="00D70DFC" w:rsidP="005C2127">
      <w:pPr>
        <w:spacing w:line="480" w:lineRule="auto"/>
        <w:rPr>
          <w:rFonts w:eastAsia="Times New Roman" w:cs="Arial"/>
        </w:rPr>
      </w:pPr>
      <w:r>
        <w:rPr>
          <w:rFonts w:eastAsia="Times New Roman" w:cs="Arial"/>
        </w:rPr>
        <w:t xml:space="preserve"> </w:t>
      </w:r>
      <w:r w:rsidR="008E4156">
        <w:rPr>
          <w:rFonts w:eastAsia="Times New Roman" w:cs="Arial"/>
        </w:rPr>
        <w:t>In the words of Ann Morisy: “</w:t>
      </w:r>
      <w:r w:rsidR="008E4156">
        <w:t>When these structures of participation are without power and based on values such as hospitality, concern and kindness, then the expression of brave social capital can unleash the cascade of grace from which an unknowable range of people and situations benefit.”</w:t>
      </w:r>
      <w:r w:rsidR="008E4156">
        <w:rPr>
          <w:rStyle w:val="FootnoteReference"/>
        </w:rPr>
        <w:footnoteReference w:id="79"/>
      </w:r>
    </w:p>
    <w:p w:rsidR="00D847B0" w:rsidRDefault="001360BA" w:rsidP="005C2127">
      <w:pPr>
        <w:spacing w:line="480" w:lineRule="auto"/>
        <w:rPr>
          <w:rFonts w:eastAsia="Times New Roman" w:cs="Arial"/>
        </w:rPr>
      </w:pPr>
      <w:r>
        <w:rPr>
          <w:rFonts w:eastAsia="Times New Roman" w:cs="Arial"/>
        </w:rPr>
        <w:t>It may be the very lack of institutional power and position that in the end enables the deacon to minister effectively in a multi-faith context. However the diaconate needs a bit of institutional elbow grease to initiate a renewal of interest and understanding of the role and challenge the Cinderella image of this vital ministry.</w:t>
      </w:r>
    </w:p>
    <w:p w:rsidR="00F54749" w:rsidRDefault="00F54749" w:rsidP="00072A20">
      <w:pPr>
        <w:pStyle w:val="Heading1"/>
        <w:rPr>
          <w:rFonts w:eastAsia="Times New Roman" w:cs="Arial"/>
        </w:rPr>
      </w:pPr>
      <w:bookmarkStart w:id="25" w:name="_Toc428110567"/>
      <w:r>
        <w:rPr>
          <w:rFonts w:eastAsia="Times New Roman" w:cs="Arial"/>
        </w:rPr>
        <w:t>Bibliography</w:t>
      </w:r>
      <w:bookmarkEnd w:id="25"/>
      <w:r w:rsidR="00072A20">
        <w:rPr>
          <w:rFonts w:eastAsia="Times New Roman" w:cs="Arial"/>
        </w:rPr>
        <w:br/>
      </w:r>
    </w:p>
    <w:p w:rsidR="003344DA" w:rsidRDefault="00F54749" w:rsidP="003344DA">
      <w:pPr>
        <w:pStyle w:val="FootnoteText"/>
      </w:pPr>
      <w:r>
        <w:t xml:space="preserve">Avis P. </w:t>
      </w:r>
      <w:r>
        <w:rPr>
          <w:i/>
        </w:rPr>
        <w:t>Diaconate as a Flagship Ministry</w:t>
      </w:r>
      <w:r w:rsidR="001E3C27">
        <w:rPr>
          <w:i/>
        </w:rPr>
        <w:t xml:space="preserve"> </w:t>
      </w:r>
      <w:r w:rsidR="001E3C27">
        <w:t xml:space="preserve">in </w:t>
      </w:r>
      <w:r w:rsidR="001E3C27" w:rsidRPr="001E3C27">
        <w:rPr>
          <w:i/>
        </w:rPr>
        <w:t>Theology and Ministry</w:t>
      </w:r>
      <w:r w:rsidR="001E3C27">
        <w:rPr>
          <w:i/>
        </w:rPr>
        <w:t xml:space="preserve"> </w:t>
      </w:r>
      <w:r w:rsidR="001E3C27">
        <w:t>Volume 2 (Durham University: 2013)</w:t>
      </w:r>
      <w:r w:rsidR="00F749F1">
        <w:br/>
      </w:r>
      <w:r w:rsidR="003344DA">
        <w:t xml:space="preserve">Avis P. </w:t>
      </w:r>
      <w:r w:rsidR="003344DA" w:rsidRPr="00832457">
        <w:rPr>
          <w:i/>
        </w:rPr>
        <w:t>A Ministry Shaped by Mission</w:t>
      </w:r>
      <w:r w:rsidR="003344DA">
        <w:t xml:space="preserve"> (T&amp;T Clark) 2005</w:t>
      </w:r>
      <w:r w:rsidR="003344DA">
        <w:br/>
      </w:r>
      <w:r w:rsidR="003344DA" w:rsidRPr="00B212C8">
        <w:t>Brown R.</w:t>
      </w:r>
      <w:r w:rsidR="003344DA">
        <w:t xml:space="preserve"> </w:t>
      </w:r>
      <w:r w:rsidR="003344DA" w:rsidRPr="00B212C8">
        <w:rPr>
          <w:bCs/>
          <w:i/>
          <w:iCs/>
        </w:rPr>
        <w:t>Being a Deacon Today: exploring a distinctive ministry in the church and in the world</w:t>
      </w:r>
      <w:r w:rsidR="003344DA" w:rsidRPr="00B212C8">
        <w:t xml:space="preserve"> (Canterbury Press,</w:t>
      </w:r>
      <w:r w:rsidR="003344DA">
        <w:t xml:space="preserve"> London) 2005</w:t>
      </w:r>
    </w:p>
    <w:p w:rsidR="00F749F1" w:rsidRDefault="00F749F1" w:rsidP="00F749F1">
      <w:pPr>
        <w:pStyle w:val="FootnoteText"/>
      </w:pPr>
      <w:r>
        <w:t xml:space="preserve"> Clark D. (ed.), </w:t>
      </w:r>
      <w:r w:rsidRPr="0011352C">
        <w:rPr>
          <w:i/>
        </w:rPr>
        <w:t>The Diaconal Church</w:t>
      </w:r>
      <w:r>
        <w:t>. (Epworth: Peterborough) 2008</w:t>
      </w:r>
      <w:r w:rsidR="001E3C27">
        <w:rPr>
          <w:i/>
        </w:rPr>
        <w:br/>
      </w:r>
      <w:r w:rsidR="001E3C27">
        <w:t xml:space="preserve">Collins J. </w:t>
      </w:r>
      <w:r w:rsidR="001E3C27">
        <w:rPr>
          <w:i/>
        </w:rPr>
        <w:t xml:space="preserve">Diakonia Studies </w:t>
      </w:r>
      <w:r w:rsidR="001E3C27">
        <w:t xml:space="preserve">(Oxford University Press:Oxford) 2014 </w:t>
      </w:r>
      <w:r>
        <w:br/>
        <w:t>Collins J. Deacons and the Church (Gracewing: Herefordshire) 2002.</w:t>
      </w:r>
    </w:p>
    <w:p w:rsidR="00F749F1" w:rsidRDefault="00F749F1" w:rsidP="00F749F1">
      <w:pPr>
        <w:pStyle w:val="FootnoteText"/>
      </w:pPr>
      <w:r>
        <w:t xml:space="preserve">Cragg K. </w:t>
      </w:r>
      <w:r w:rsidRPr="00DB5D5C">
        <w:rPr>
          <w:i/>
        </w:rPr>
        <w:t>The order of the Wounded Hands</w:t>
      </w:r>
      <w:r>
        <w:t xml:space="preserve"> (Melisinde:London) 2006</w:t>
      </w:r>
    </w:p>
    <w:p w:rsidR="003344DA" w:rsidRDefault="00F749F1" w:rsidP="003344DA">
      <w:pPr>
        <w:pStyle w:val="FootnoteText"/>
      </w:pPr>
      <w:r>
        <w:t>Collins J. Deacons and the Church (Gracewing: Herefordshire) 2002.</w:t>
      </w:r>
      <w:r w:rsidR="003344DA">
        <w:br/>
        <w:t xml:space="preserve">Corneille C. </w:t>
      </w:r>
      <w:r w:rsidR="003344DA" w:rsidRPr="007A355E">
        <w:rPr>
          <w:rFonts w:eastAsia="Times New Roman" w:cs="Arial"/>
          <w:i/>
        </w:rPr>
        <w:t>the im-possibility of interreligious dialogue</w:t>
      </w:r>
      <w:r w:rsidR="003344DA" w:rsidRPr="007A355E">
        <w:rPr>
          <w:rFonts w:eastAsia="Times New Roman" w:cs="Arial"/>
        </w:rPr>
        <w:t xml:space="preserve"> (</w:t>
      </w:r>
      <w:r w:rsidR="003344DA">
        <w:rPr>
          <w:rFonts w:eastAsia="Times New Roman" w:cs="Arial"/>
        </w:rPr>
        <w:t>Cross-road publishing company:New York)2008</w:t>
      </w:r>
    </w:p>
    <w:p w:rsidR="006773E4" w:rsidRPr="00D847B0" w:rsidRDefault="00F749F1" w:rsidP="006773E4">
      <w:pPr>
        <w:pStyle w:val="FootnoteText"/>
        <w:rPr>
          <w:i/>
        </w:rPr>
      </w:pPr>
      <w:r>
        <w:t xml:space="preserve">Croft S. </w:t>
      </w:r>
      <w:r w:rsidRPr="009D19C1">
        <w:rPr>
          <w:i/>
        </w:rPr>
        <w:t>Serving, Sustaining and Connecting</w:t>
      </w:r>
      <w:r>
        <w:t xml:space="preserve"> in Ed. Steve Croft </w:t>
      </w:r>
      <w:r w:rsidRPr="009D19C1">
        <w:rPr>
          <w:i/>
        </w:rPr>
        <w:t>The Future of the Parish System</w:t>
      </w:r>
      <w:r>
        <w:t xml:space="preserve"> (Church House Publishing:London)2006</w:t>
      </w:r>
      <w:r w:rsidR="006773E4">
        <w:br/>
      </w:r>
      <w:r w:rsidR="006773E4" w:rsidRPr="00D847B0">
        <w:rPr>
          <w:i/>
        </w:rPr>
        <w:t>Faithful Cities  Report from the Commission on Urban Life and Faith CHP and Methodist Publishing House, Peterborough. 2006</w:t>
      </w:r>
    </w:p>
    <w:p w:rsidR="003344DA" w:rsidRPr="008C5EEB" w:rsidRDefault="003344DA" w:rsidP="003344DA">
      <w:pPr>
        <w:pStyle w:val="FootnoteText"/>
      </w:pPr>
      <w:r w:rsidRPr="008C5EEB">
        <w:rPr>
          <w:i/>
        </w:rPr>
        <w:t>Generous Love</w:t>
      </w:r>
      <w:r>
        <w:rPr>
          <w:i/>
        </w:rPr>
        <w:t xml:space="preserve"> </w:t>
      </w:r>
      <w:r>
        <w:t xml:space="preserve"> A report from the Anglican Communion Network for Inter Faith Concerns. (Anglican Consultative Council:London) 2008</w:t>
      </w:r>
    </w:p>
    <w:p w:rsidR="00F749F1" w:rsidRDefault="00F749F1" w:rsidP="00F749F1">
      <w:pPr>
        <w:pStyle w:val="FootnoteText"/>
      </w:pPr>
      <w:r>
        <w:t xml:space="preserve">Gooder P. </w:t>
      </w:r>
      <w:r w:rsidRPr="00B3748D">
        <w:rPr>
          <w:i/>
        </w:rPr>
        <w:t>Diakonia in the New Testament: a Dialogue with John N Collins.</w:t>
      </w:r>
      <w:r w:rsidRPr="00B3748D">
        <w:t xml:space="preserve"> </w:t>
      </w:r>
      <w:r>
        <w:t>(Ecclesiology Volume 3 Issue 1 pp 33-56) 2006</w:t>
      </w:r>
    </w:p>
    <w:p w:rsidR="003344DA" w:rsidRPr="006773E4" w:rsidRDefault="003344DA" w:rsidP="006773E4">
      <w:pPr>
        <w:spacing w:after="0"/>
        <w:ind w:left="720" w:hanging="720"/>
        <w:rPr>
          <w:sz w:val="20"/>
          <w:szCs w:val="20"/>
        </w:rPr>
      </w:pPr>
      <w:r w:rsidRPr="0020637A">
        <w:rPr>
          <w:rFonts w:eastAsiaTheme="minorHAnsi"/>
          <w:sz w:val="20"/>
          <w:szCs w:val="20"/>
          <w:lang w:eastAsia="en-US"/>
        </w:rPr>
        <w:t>Hal</w:t>
      </w:r>
      <w:r w:rsidR="006773E4">
        <w:rPr>
          <w:rFonts w:eastAsiaTheme="minorHAnsi"/>
          <w:sz w:val="20"/>
          <w:szCs w:val="20"/>
          <w:lang w:eastAsia="en-US"/>
        </w:rPr>
        <w:t>l C. (ed.)</w:t>
      </w:r>
      <w:r w:rsidRPr="0020637A">
        <w:rPr>
          <w:rFonts w:eastAsiaTheme="minorHAnsi"/>
          <w:sz w:val="20"/>
          <w:szCs w:val="20"/>
          <w:lang w:eastAsia="en-US"/>
        </w:rPr>
        <w:t xml:space="preserve"> </w:t>
      </w:r>
      <w:r w:rsidR="006773E4" w:rsidRPr="006773E4">
        <w:rPr>
          <w:rFonts w:eastAsiaTheme="minorHAnsi"/>
          <w:i/>
          <w:sz w:val="20"/>
          <w:szCs w:val="20"/>
          <w:lang w:eastAsia="en-US"/>
        </w:rPr>
        <w:t>T</w:t>
      </w:r>
      <w:r w:rsidRPr="006773E4">
        <w:rPr>
          <w:rFonts w:eastAsiaTheme="minorHAnsi"/>
          <w:i/>
          <w:sz w:val="20"/>
          <w:szCs w:val="20"/>
          <w:lang w:eastAsia="en-US"/>
        </w:rPr>
        <w:t>he Deacon’s Ministry</w:t>
      </w:r>
      <w:r w:rsidRPr="0020637A">
        <w:rPr>
          <w:rFonts w:eastAsiaTheme="minorHAnsi"/>
          <w:sz w:val="20"/>
          <w:szCs w:val="20"/>
          <w:lang w:eastAsia="en-US"/>
        </w:rPr>
        <w:t xml:space="preserve"> </w:t>
      </w:r>
      <w:r w:rsidR="006773E4">
        <w:rPr>
          <w:rFonts w:eastAsiaTheme="minorHAnsi"/>
          <w:sz w:val="20"/>
          <w:szCs w:val="20"/>
          <w:lang w:eastAsia="en-US"/>
        </w:rPr>
        <w:t xml:space="preserve">(Gracewing: </w:t>
      </w:r>
      <w:r w:rsidRPr="0020637A">
        <w:rPr>
          <w:rFonts w:eastAsiaTheme="minorHAnsi"/>
          <w:sz w:val="20"/>
          <w:szCs w:val="20"/>
          <w:lang w:eastAsia="en-US"/>
        </w:rPr>
        <w:t>Leominster</w:t>
      </w:r>
      <w:r w:rsidR="006773E4">
        <w:rPr>
          <w:rFonts w:eastAsiaTheme="minorHAnsi"/>
          <w:sz w:val="20"/>
          <w:szCs w:val="20"/>
          <w:lang w:eastAsia="en-US"/>
        </w:rPr>
        <w:t>) 1991</w:t>
      </w:r>
    </w:p>
    <w:p w:rsidR="006773E4" w:rsidRDefault="00F749F1" w:rsidP="006773E4">
      <w:pPr>
        <w:pStyle w:val="FootnoteText"/>
      </w:pPr>
      <w:r w:rsidRPr="00B3748D">
        <w:rPr>
          <w:i/>
        </w:rPr>
        <w:t>Holy Bible. New Revised Standard Version</w:t>
      </w:r>
      <w:r>
        <w:t xml:space="preserve"> (HarperCollins:London) 1998</w:t>
      </w:r>
      <w:r w:rsidR="006773E4">
        <w:br/>
        <w:t xml:space="preserve">Morisy A. </w:t>
      </w:r>
      <w:r w:rsidR="006773E4" w:rsidRPr="008E4156">
        <w:rPr>
          <w:i/>
        </w:rPr>
        <w:t>Journeying Out</w:t>
      </w:r>
      <w:r w:rsidR="006773E4">
        <w:t xml:space="preserve"> (Continuum:London) 2004</w:t>
      </w:r>
    </w:p>
    <w:p w:rsidR="003344DA" w:rsidRDefault="003344DA" w:rsidP="003344DA">
      <w:pPr>
        <w:pStyle w:val="FootnoteText"/>
      </w:pPr>
      <w:r>
        <w:t xml:space="preserve">Nordstokke K. </w:t>
      </w:r>
      <w:r w:rsidRPr="001B7AAA">
        <w:rPr>
          <w:i/>
        </w:rPr>
        <w:t xml:space="preserve">Diakonia and diaconate in the World Council of Churches </w:t>
      </w:r>
      <w:r>
        <w:t xml:space="preserve">in </w:t>
      </w:r>
      <w:r w:rsidRPr="00950B37">
        <w:rPr>
          <w:i/>
        </w:rPr>
        <w:t>International Journal for the Study of the Christian Church Volume</w:t>
      </w:r>
      <w:r>
        <w:t xml:space="preserve"> 13 Number 4 2013.</w:t>
      </w:r>
    </w:p>
    <w:p w:rsidR="003344DA" w:rsidRDefault="00F54749" w:rsidP="003344DA">
      <w:pPr>
        <w:pStyle w:val="FootnoteText"/>
      </w:pPr>
      <w:r>
        <w:rPr>
          <w:bCs/>
        </w:rPr>
        <w:t>Orton, A</w:t>
      </w:r>
      <w:r>
        <w:rPr>
          <w:b/>
          <w:bCs/>
        </w:rPr>
        <w:t>.</w:t>
      </w:r>
      <w:r>
        <w:t xml:space="preserve"> &amp; Stockdale, T. </w:t>
      </w:r>
      <w:r>
        <w:rPr>
          <w:i/>
          <w:iCs/>
        </w:rPr>
        <w:t xml:space="preserve">Making Connections: Exploring Methodist Deacons' Perspectives on Contemporary Diaconal Ministry </w:t>
      </w:r>
      <w:r>
        <w:t>( Durham: Sacristy Press) 2014</w:t>
      </w:r>
      <w:r w:rsidR="00F749F1">
        <w:br/>
      </w:r>
      <w:r w:rsidR="003344DA">
        <w:t>Presence and Engagement – the Church’s task in a Multi-Faith society. (General Synod:London)2005</w:t>
      </w:r>
    </w:p>
    <w:p w:rsidR="00F54749" w:rsidRDefault="006773E4" w:rsidP="00F54749">
      <w:pPr>
        <w:pStyle w:val="FootnoteText"/>
      </w:pPr>
      <w:r>
        <w:t>hn</w:t>
      </w:r>
      <w:r w:rsidR="00F54749">
        <w:t>2013</w:t>
      </w:r>
      <w:r>
        <w:br/>
        <w:t>Sudworth R</w:t>
      </w:r>
      <w:r w:rsidRPr="006773E4">
        <w:rPr>
          <w:i/>
        </w:rPr>
        <w:t>. Hospitality and Embassy: The Persistent Influence of Kenneth Cragg on Anglican Theologies of Interfaith Relations. Anglican Theological Review</w:t>
      </w:r>
      <w:r>
        <w:t xml:space="preserve"> Volume 96 Number 1 Winter 2014</w:t>
      </w:r>
    </w:p>
    <w:p w:rsidR="006773E4" w:rsidRPr="00D847B0" w:rsidRDefault="00F749F1" w:rsidP="006773E4">
      <w:pPr>
        <w:pStyle w:val="FootnoteText"/>
      </w:pPr>
      <w:r>
        <w:t xml:space="preserve">The Faith and Order Advisory Group of the Church of England. </w:t>
      </w:r>
      <w:r w:rsidRPr="00761DAF">
        <w:rPr>
          <w:i/>
        </w:rPr>
        <w:t>The Mission and Ministry of the Whole Church GS Misc 854</w:t>
      </w:r>
      <w:r>
        <w:t xml:space="preserve"> (Archbishops’ Council:2007) London</w:t>
      </w:r>
      <w:r w:rsidR="006773E4">
        <w:br/>
      </w:r>
      <w:r w:rsidR="006773E4" w:rsidRPr="00D847B0">
        <w:t xml:space="preserve">Ward G. </w:t>
      </w:r>
      <w:r w:rsidR="006773E4" w:rsidRPr="00D847B0">
        <w:rPr>
          <w:i/>
        </w:rPr>
        <w:t xml:space="preserve">The Politics of Discipleship </w:t>
      </w:r>
      <w:r w:rsidR="006773E4" w:rsidRPr="00D847B0">
        <w:t>(Baker Academic: London) 2009</w:t>
      </w:r>
    </w:p>
    <w:p w:rsidR="00F54749" w:rsidRDefault="003344DA" w:rsidP="00F54749">
      <w:pPr>
        <w:pStyle w:val="FootnoteText"/>
      </w:pPr>
      <w:r>
        <w:t xml:space="preserve">Wells S. </w:t>
      </w:r>
      <w:r w:rsidRPr="00ED105C">
        <w:rPr>
          <w:i/>
        </w:rPr>
        <w:t>A Nazareth Manifesto</w:t>
      </w:r>
      <w:r>
        <w:t xml:space="preserve"> (Wiley &amp; Sons: Chichester) 2015</w:t>
      </w:r>
    </w:p>
    <w:p w:rsidR="00F54749" w:rsidRDefault="00F54749" w:rsidP="00F54749">
      <w:pPr>
        <w:pStyle w:val="FootnoteText"/>
      </w:pPr>
    </w:p>
    <w:p w:rsidR="00F54749" w:rsidRDefault="00F54749" w:rsidP="00F54749">
      <w:pPr>
        <w:pStyle w:val="FootnoteText"/>
      </w:pPr>
    </w:p>
    <w:p w:rsidR="003344DA" w:rsidRDefault="00F54749" w:rsidP="00072A20">
      <w:pPr>
        <w:pStyle w:val="FootnoteText"/>
        <w:outlineLvl w:val="1"/>
      </w:pPr>
      <w:bookmarkStart w:id="26" w:name="_Toc428110568"/>
      <w:r>
        <w:t>Webliography</w:t>
      </w:r>
      <w:bookmarkEnd w:id="26"/>
    </w:p>
    <w:p w:rsidR="003344DA" w:rsidRDefault="00F749F1" w:rsidP="003344DA">
      <w:pPr>
        <w:pStyle w:val="FootnoteText"/>
      </w:pPr>
      <w:r>
        <w:br/>
      </w:r>
      <w:hyperlink r:id="rId8" w:history="1">
        <w:r w:rsidR="003344DA" w:rsidRPr="0070563B">
          <w:rPr>
            <w:rStyle w:val="Hyperlink"/>
          </w:rPr>
          <w:t>http://www.bbc.co.uk/news/uk-32722155</w:t>
        </w:r>
      </w:hyperlink>
      <w:r w:rsidR="003344DA">
        <w:t xml:space="preserve"> </w:t>
      </w:r>
    </w:p>
    <w:p w:rsidR="003344DA" w:rsidRDefault="00DD3C0E" w:rsidP="003344DA">
      <w:pPr>
        <w:pStyle w:val="FootnoteText"/>
      </w:pPr>
      <w:hyperlink r:id="rId9" w:history="1">
        <w:r w:rsidR="003344DA" w:rsidRPr="0070563B">
          <w:rPr>
            <w:rStyle w:val="Hyperlink"/>
          </w:rPr>
          <w:t>http://www.bbc.co.uk/news/uk-32722155</w:t>
        </w:r>
      </w:hyperlink>
      <w:r w:rsidR="003344DA">
        <w:t xml:space="preserve"> </w:t>
      </w:r>
    </w:p>
    <w:p w:rsidR="00F749F1" w:rsidRDefault="00DD3C0E" w:rsidP="00F749F1">
      <w:pPr>
        <w:pStyle w:val="FootnoteText"/>
      </w:pPr>
      <w:hyperlink r:id="rId10" w:history="1">
        <w:r w:rsidR="003344DA" w:rsidRPr="00112470">
          <w:rPr>
            <w:rStyle w:val="Hyperlink"/>
          </w:rPr>
          <w:t>https://www.biblegateway.com/passage/?search=1+Peter+2%3A9&amp;version=NRSV</w:t>
        </w:r>
      </w:hyperlink>
      <w:r w:rsidR="00F749F1">
        <w:t xml:space="preserve"> </w:t>
      </w:r>
    </w:p>
    <w:p w:rsidR="00F749F1" w:rsidRPr="00F749F1" w:rsidRDefault="00DD3C0E" w:rsidP="00F749F1">
      <w:pPr>
        <w:pStyle w:val="FootnoteText"/>
        <w:rPr>
          <w:sz w:val="18"/>
          <w:szCs w:val="18"/>
        </w:rPr>
      </w:pPr>
      <w:hyperlink r:id="rId11" w:history="1">
        <w:r w:rsidR="00F749F1" w:rsidRPr="00F749F1">
          <w:rPr>
            <w:rStyle w:val="Hyperlink"/>
            <w:sz w:val="18"/>
            <w:szCs w:val="18"/>
          </w:rPr>
          <w:t>http://biblehub.com/greek/strongs_1401.htm</w:t>
        </w:r>
      </w:hyperlink>
      <w:r w:rsidR="00F749F1" w:rsidRPr="00F749F1">
        <w:rPr>
          <w:sz w:val="18"/>
          <w:szCs w:val="18"/>
        </w:rPr>
        <w:t xml:space="preserve"> </w:t>
      </w:r>
    </w:p>
    <w:p w:rsidR="003344DA" w:rsidRPr="005C2DB3" w:rsidRDefault="00DD3C0E" w:rsidP="003344DA">
      <w:pPr>
        <w:rPr>
          <w:sz w:val="20"/>
          <w:szCs w:val="20"/>
        </w:rPr>
      </w:pPr>
      <w:hyperlink r:id="rId12" w:history="1">
        <w:r w:rsidR="00F749F1" w:rsidRPr="00F749F1">
          <w:rPr>
            <w:rStyle w:val="Hyperlink"/>
            <w:sz w:val="18"/>
            <w:szCs w:val="18"/>
          </w:rPr>
          <w:t>http://biblehub.com/greek/1249.htm</w:t>
        </w:r>
      </w:hyperlink>
      <w:r w:rsidR="00F749F1" w:rsidRPr="00F749F1">
        <w:rPr>
          <w:sz w:val="18"/>
          <w:szCs w:val="18"/>
        </w:rPr>
        <w:t xml:space="preserve"> </w:t>
      </w:r>
      <w:r w:rsidR="003344DA">
        <w:rPr>
          <w:sz w:val="18"/>
          <w:szCs w:val="18"/>
        </w:rPr>
        <w:br/>
      </w:r>
      <w:hyperlink r:id="rId13" w:history="1">
        <w:r w:rsidR="003344DA" w:rsidRPr="009A70F9">
          <w:rPr>
            <w:rStyle w:val="Hyperlink"/>
          </w:rPr>
          <w:t>http://www.churchgrowthresearch.org.uk/UserFiles/File/Reports/FromAnecdoteToEvidence1.0.pdf</w:t>
        </w:r>
      </w:hyperlink>
      <w:hyperlink r:id="rId14" w:history="1">
        <w:r w:rsidR="00F54749" w:rsidRPr="00F749F1">
          <w:rPr>
            <w:rStyle w:val="Hyperlink"/>
            <w:sz w:val="18"/>
            <w:szCs w:val="18"/>
          </w:rPr>
          <w:t>https://www.churchofengland.org/about-us/facts-stats.aspx</w:t>
        </w:r>
      </w:hyperlink>
      <w:r w:rsidR="00F54749" w:rsidRPr="00F749F1">
        <w:rPr>
          <w:sz w:val="18"/>
          <w:szCs w:val="18"/>
        </w:rPr>
        <w:t xml:space="preserve">. </w:t>
      </w:r>
      <w:r w:rsidR="00F749F1">
        <w:rPr>
          <w:sz w:val="18"/>
          <w:szCs w:val="18"/>
        </w:rPr>
        <w:br/>
      </w:r>
      <w:hyperlink r:id="rId15" w:history="1">
        <w:r w:rsidR="001E3C27" w:rsidRPr="00F749F1">
          <w:rPr>
            <w:rStyle w:val="Hyperlink"/>
            <w:sz w:val="18"/>
            <w:szCs w:val="18"/>
          </w:rPr>
          <w:t>http://www.churchofenglandglossary.co.uk/dictionary/definition/deacon</w:t>
        </w:r>
      </w:hyperlink>
      <w:r w:rsidR="001E3C27" w:rsidRPr="00F749F1">
        <w:rPr>
          <w:sz w:val="18"/>
          <w:szCs w:val="18"/>
        </w:rPr>
        <w:br/>
      </w:r>
      <w:hyperlink r:id="rId16" w:history="1">
        <w:r w:rsidR="001E3C27" w:rsidRPr="00F749F1">
          <w:rPr>
            <w:rStyle w:val="Hyperlink"/>
            <w:sz w:val="18"/>
            <w:szCs w:val="18"/>
          </w:rPr>
          <w:t>https://www.churchofengland.org/prayer-worship/worship/texts/ordinal/deacons.aspx</w:t>
        </w:r>
      </w:hyperlink>
      <w:r w:rsidR="001E3C27" w:rsidRPr="00F749F1">
        <w:rPr>
          <w:sz w:val="18"/>
          <w:szCs w:val="18"/>
        </w:rPr>
        <w:t xml:space="preserve"> </w:t>
      </w:r>
      <w:r w:rsidR="00F749F1">
        <w:rPr>
          <w:sz w:val="18"/>
          <w:szCs w:val="18"/>
        </w:rPr>
        <w:br/>
      </w:r>
      <w:hyperlink r:id="rId17" w:history="1">
        <w:r w:rsidR="00F749F1" w:rsidRPr="00D81569">
          <w:rPr>
            <w:rStyle w:val="Hyperlink"/>
          </w:rPr>
          <w:t>https://www.churchofengland.org/prayer-worship/worship/texts/ordinal/priests.aspx</w:t>
        </w:r>
      </w:hyperlink>
      <w:r w:rsidR="006773E4">
        <w:br/>
      </w:r>
      <w:hyperlink r:id="rId18" w:history="1">
        <w:r w:rsidR="006773E4" w:rsidRPr="00763BB7">
          <w:rPr>
            <w:rStyle w:val="Hyperlink"/>
          </w:rPr>
          <w:t>https://www.churchofengland.org/reform-renewal.aspx</w:t>
        </w:r>
      </w:hyperlink>
      <w:r w:rsidR="003344DA">
        <w:br/>
      </w:r>
      <w:hyperlink r:id="rId19" w:history="1">
        <w:r w:rsidR="003344DA" w:rsidRPr="002F6404">
          <w:rPr>
            <w:rStyle w:val="Hyperlink"/>
          </w:rPr>
          <w:t>https://www.cuf.org.uk/sites/default/files/PDFs/NearNeighbours/Evaluation/Woolf_NearNeighboursReport.pdf</w:t>
        </w:r>
      </w:hyperlink>
      <w:r w:rsidR="003344DA">
        <w:br/>
      </w:r>
      <w:hyperlink r:id="rId20" w:history="1">
        <w:r w:rsidR="003344DA" w:rsidRPr="00046916">
          <w:rPr>
            <w:rStyle w:val="Hyperlink"/>
          </w:rPr>
          <w:t>http://www.ons.gov.uk/ons/rel/census/2011-census/key-statistics-for-local-authorities-in-england-and-wales/rpt-religion.html</w:t>
        </w:r>
      </w:hyperlink>
      <w:r w:rsidR="003344DA">
        <w:t xml:space="preserve">. </w:t>
      </w:r>
      <w:hyperlink r:id="rId21" w:history="1">
        <w:r w:rsidR="003344DA" w:rsidRPr="005C2DB3">
          <w:rPr>
            <w:rStyle w:val="Hyperlink"/>
            <w:sz w:val="20"/>
            <w:szCs w:val="20"/>
          </w:rPr>
          <w:t>http://www.sheffield.anglican.org/UserFiles/File/Training/distinctive_deacon.pdf</w:t>
        </w:r>
      </w:hyperlink>
      <w:r w:rsidR="003344DA" w:rsidRPr="005C2DB3">
        <w:rPr>
          <w:sz w:val="20"/>
          <w:szCs w:val="20"/>
        </w:rPr>
        <w:t xml:space="preserve"> </w:t>
      </w:r>
    </w:p>
    <w:p w:rsidR="00BC2BC0" w:rsidRDefault="00BC2BC0">
      <w:r>
        <w:br w:type="page"/>
      </w:r>
    </w:p>
    <w:p w:rsidR="00F54749" w:rsidRDefault="00F54749" w:rsidP="00F54749">
      <w:pPr>
        <w:spacing w:after="0"/>
      </w:pPr>
    </w:p>
    <w:sectPr w:rsidR="00F54749" w:rsidSect="00690BA9">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3C0E" w:rsidRDefault="00DD3C0E" w:rsidP="00EB4634">
      <w:pPr>
        <w:spacing w:after="0" w:line="240" w:lineRule="auto"/>
      </w:pPr>
      <w:r>
        <w:separator/>
      </w:r>
    </w:p>
  </w:endnote>
  <w:endnote w:type="continuationSeparator" w:id="0">
    <w:p w:rsidR="00DD3C0E" w:rsidRDefault="00DD3C0E" w:rsidP="00EB4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71409"/>
      <w:docPartObj>
        <w:docPartGallery w:val="Page Numbers (Bottom of Page)"/>
        <w:docPartUnique/>
      </w:docPartObj>
    </w:sdtPr>
    <w:sdtEndPr/>
    <w:sdtContent>
      <w:p w:rsidR="000239DD" w:rsidRDefault="00D83547">
        <w:pPr>
          <w:pStyle w:val="Footer"/>
        </w:pPr>
        <w:r>
          <w:fldChar w:fldCharType="begin"/>
        </w:r>
        <w:r>
          <w:instrText xml:space="preserve"> PAGE   \* MERGEFORMAT </w:instrText>
        </w:r>
        <w:r>
          <w:fldChar w:fldCharType="separate"/>
        </w:r>
        <w:r w:rsidR="00A83E08">
          <w:rPr>
            <w:noProof/>
          </w:rPr>
          <w:t>1</w:t>
        </w:r>
        <w:r>
          <w:rPr>
            <w:noProof/>
          </w:rPr>
          <w:fldChar w:fldCharType="end"/>
        </w:r>
      </w:p>
    </w:sdtContent>
  </w:sdt>
  <w:p w:rsidR="000239DD" w:rsidRDefault="000239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3C0E" w:rsidRDefault="00DD3C0E" w:rsidP="00EB4634">
      <w:pPr>
        <w:spacing w:after="0" w:line="240" w:lineRule="auto"/>
      </w:pPr>
      <w:r>
        <w:separator/>
      </w:r>
    </w:p>
  </w:footnote>
  <w:footnote w:type="continuationSeparator" w:id="0">
    <w:p w:rsidR="00DD3C0E" w:rsidRDefault="00DD3C0E" w:rsidP="00EB4634">
      <w:pPr>
        <w:spacing w:after="0" w:line="240" w:lineRule="auto"/>
      </w:pPr>
      <w:r>
        <w:continuationSeparator/>
      </w:r>
    </w:p>
  </w:footnote>
  <w:footnote w:id="1">
    <w:p w:rsidR="000239DD" w:rsidRDefault="000239DD" w:rsidP="009B47D4">
      <w:pPr>
        <w:pStyle w:val="FootnoteText"/>
      </w:pPr>
      <w:r>
        <w:rPr>
          <w:rStyle w:val="FootnoteReference"/>
        </w:rPr>
        <w:footnoteRef/>
      </w:r>
      <w:r>
        <w:t xml:space="preserve"> P 1 </w:t>
      </w:r>
      <w:r>
        <w:rPr>
          <w:bCs/>
        </w:rPr>
        <w:t>Orton, A</w:t>
      </w:r>
      <w:r>
        <w:rPr>
          <w:b/>
          <w:bCs/>
        </w:rPr>
        <w:t>.</w:t>
      </w:r>
      <w:r>
        <w:t xml:space="preserve"> &amp; Stockdale, T. </w:t>
      </w:r>
      <w:r>
        <w:rPr>
          <w:i/>
          <w:iCs/>
        </w:rPr>
        <w:t xml:space="preserve">Making Connections: Exploring Methodist Deacons' Perspectives on Contemporary Diaconal Ministry </w:t>
      </w:r>
      <w:r>
        <w:t>( Durham: Sacristy Press) 2014</w:t>
      </w:r>
    </w:p>
  </w:footnote>
  <w:footnote w:id="2">
    <w:p w:rsidR="000239DD" w:rsidRDefault="000239DD" w:rsidP="009B47D4">
      <w:pPr>
        <w:pStyle w:val="FootnoteText"/>
      </w:pPr>
      <w:r>
        <w:rPr>
          <w:rStyle w:val="FootnoteReference"/>
        </w:rPr>
        <w:footnoteRef/>
      </w:r>
      <w:r>
        <w:t xml:space="preserve"> P 1 </w:t>
      </w:r>
      <w:r>
        <w:rPr>
          <w:bCs/>
        </w:rPr>
        <w:t>Orton, A</w:t>
      </w:r>
      <w:r>
        <w:rPr>
          <w:b/>
          <w:bCs/>
        </w:rPr>
        <w:t>.</w:t>
      </w:r>
      <w:r>
        <w:t xml:space="preserve"> &amp; Stockdale, T. </w:t>
      </w:r>
      <w:r>
        <w:rPr>
          <w:i/>
          <w:iCs/>
        </w:rPr>
        <w:t xml:space="preserve">Making Connections: Exploring Methodist Deacons' Perspectives on Contemporary Diaconal Ministry </w:t>
      </w:r>
      <w:r>
        <w:t>( Durham: Sacristy Press) 2014</w:t>
      </w:r>
    </w:p>
  </w:footnote>
  <w:footnote w:id="3">
    <w:p w:rsidR="000239DD" w:rsidRDefault="000239DD" w:rsidP="009B47D4">
      <w:pPr>
        <w:pStyle w:val="FootnoteText"/>
      </w:pPr>
      <w:r>
        <w:rPr>
          <w:rStyle w:val="FootnoteReference"/>
        </w:rPr>
        <w:footnoteRef/>
      </w:r>
      <w:r>
        <w:t xml:space="preserve"> Avis P. </w:t>
      </w:r>
      <w:r>
        <w:rPr>
          <w:i/>
        </w:rPr>
        <w:t>Diaconate as a Flagship Ministry</w:t>
      </w:r>
      <w:r>
        <w:t xml:space="preserve"> </w:t>
      </w:r>
      <w:hyperlink r:id="rId1" w:history="1">
        <w:r>
          <w:rPr>
            <w:rStyle w:val="Hyperlink"/>
          </w:rPr>
          <w:t>https://www.dur.ac.uk/resources/theologyandministry/TheologyandMinistry2_2.pdf</w:t>
        </w:r>
      </w:hyperlink>
      <w:r>
        <w:t xml:space="preserve"> </w:t>
      </w:r>
    </w:p>
  </w:footnote>
  <w:footnote w:id="4">
    <w:p w:rsidR="000239DD" w:rsidRDefault="000239DD">
      <w:pPr>
        <w:pStyle w:val="FootnoteText"/>
      </w:pPr>
      <w:r>
        <w:rPr>
          <w:rStyle w:val="FootnoteReference"/>
        </w:rPr>
        <w:footnoteRef/>
      </w:r>
      <w:r>
        <w:rPr>
          <w:rStyle w:val="FootnoteReference"/>
        </w:rPr>
        <w:footnoteRef/>
      </w:r>
      <w:r>
        <w:t xml:space="preserve"> </w:t>
      </w:r>
      <w:hyperlink r:id="rId2" w:history="1">
        <w:r w:rsidRPr="00113A92">
          <w:rPr>
            <w:rStyle w:val="Hyperlink"/>
          </w:rPr>
          <w:t>https://www.churchofengland.org/about-us/facts-stats.aspx</w:t>
        </w:r>
      </w:hyperlink>
      <w:r>
        <w:t>. Accessed 4/05/205</w:t>
      </w:r>
    </w:p>
  </w:footnote>
  <w:footnote w:id="5">
    <w:p w:rsidR="000239DD" w:rsidRDefault="000239DD" w:rsidP="00D05EA3">
      <w:pPr>
        <w:spacing w:after="0"/>
      </w:pPr>
      <w:r>
        <w:rPr>
          <w:rStyle w:val="FootnoteReference"/>
        </w:rPr>
        <w:footnoteRef/>
      </w:r>
      <w:r>
        <w:t xml:space="preserve"> http://www.churchofenglandglossary.co.uk/dictionary/definition/deacon</w:t>
      </w:r>
    </w:p>
  </w:footnote>
  <w:footnote w:id="6">
    <w:p w:rsidR="000239DD" w:rsidRDefault="000239DD">
      <w:pPr>
        <w:pStyle w:val="FootnoteText"/>
      </w:pPr>
      <w:r>
        <w:rPr>
          <w:rStyle w:val="FootnoteReference"/>
        </w:rPr>
        <w:footnoteRef/>
      </w:r>
      <w:r>
        <w:t xml:space="preserve"> Rowell G. </w:t>
      </w:r>
      <w:r w:rsidRPr="0013195F">
        <w:rPr>
          <w:i/>
        </w:rPr>
        <w:t>Editorial Preface</w:t>
      </w:r>
      <w:r>
        <w:t xml:space="preserve"> in  </w:t>
      </w:r>
      <w:r w:rsidRPr="0013195F">
        <w:rPr>
          <w:i/>
        </w:rPr>
        <w:t>International Journal for the Study of the Christian Church</w:t>
      </w:r>
      <w:r>
        <w:t>, Volume 13 Number 4 2013</w:t>
      </w:r>
    </w:p>
  </w:footnote>
  <w:footnote w:id="7">
    <w:p w:rsidR="000239DD" w:rsidRDefault="000239DD" w:rsidP="009B47D4">
      <w:pPr>
        <w:pStyle w:val="FootnoteText"/>
      </w:pPr>
      <w:r>
        <w:rPr>
          <w:rStyle w:val="FootnoteReference"/>
        </w:rPr>
        <w:footnoteRef/>
      </w:r>
      <w:r>
        <w:t xml:space="preserve"> </w:t>
      </w:r>
      <w:hyperlink r:id="rId3" w:history="1">
        <w:r>
          <w:rPr>
            <w:rStyle w:val="Hyperlink"/>
          </w:rPr>
          <w:t>https://www.churchofengland.org/prayer-worship/worship/texts/ordinal/deacons.aspx</w:t>
        </w:r>
      </w:hyperlink>
      <w:r>
        <w:t xml:space="preserve"> Accessed 29th April 2015</w:t>
      </w:r>
    </w:p>
  </w:footnote>
  <w:footnote w:id="8">
    <w:p w:rsidR="000239DD" w:rsidRDefault="000239DD" w:rsidP="009B47D4">
      <w:pPr>
        <w:pStyle w:val="FootnoteText"/>
      </w:pPr>
      <w:r>
        <w:rPr>
          <w:rStyle w:val="FootnoteReference"/>
        </w:rPr>
        <w:footnoteRef/>
      </w:r>
      <w:r>
        <w:t xml:space="preserve"> P179 Collins J. </w:t>
      </w:r>
      <w:r>
        <w:rPr>
          <w:i/>
        </w:rPr>
        <w:t xml:space="preserve">Diakonia Studies </w:t>
      </w:r>
      <w:r>
        <w:t xml:space="preserve">(Oxford University Press:Oxford) 2014 </w:t>
      </w:r>
    </w:p>
  </w:footnote>
  <w:footnote w:id="9">
    <w:p w:rsidR="000239DD" w:rsidRDefault="000239DD" w:rsidP="003344DA">
      <w:pPr>
        <w:pStyle w:val="FootnoteText"/>
      </w:pPr>
      <w:r>
        <w:rPr>
          <w:rStyle w:val="FootnoteReference"/>
        </w:rPr>
        <w:footnoteRef/>
      </w:r>
      <w:r>
        <w:t xml:space="preserve"> P37 Presence and Engagement – the Church’s task in a Multi-Faith society. (General Synod: London)2005</w:t>
      </w:r>
    </w:p>
    <w:p w:rsidR="000239DD" w:rsidRDefault="000239DD" w:rsidP="006C5E00">
      <w:pPr>
        <w:pStyle w:val="FootnoteText"/>
      </w:pPr>
    </w:p>
    <w:p w:rsidR="000239DD" w:rsidRDefault="000239DD">
      <w:pPr>
        <w:pStyle w:val="FootnoteText"/>
      </w:pPr>
    </w:p>
  </w:footnote>
  <w:footnote w:id="10">
    <w:p w:rsidR="000239DD" w:rsidRDefault="000239DD" w:rsidP="009B47D4">
      <w:pPr>
        <w:pStyle w:val="FootnoteText"/>
      </w:pPr>
      <w:r>
        <w:rPr>
          <w:rStyle w:val="FootnoteReference"/>
        </w:rPr>
        <w:footnoteRef/>
      </w:r>
      <w:r>
        <w:t xml:space="preserve"> Avis P Abstract </w:t>
      </w:r>
      <w:r>
        <w:rPr>
          <w:i/>
        </w:rPr>
        <w:t xml:space="preserve">Diaconate as a Flagship Ministry </w:t>
      </w:r>
      <w:r>
        <w:t>https://www.dur.ac.uk/resources/theologyandministry/TheologyandMinistry2_2.pdf</w:t>
      </w:r>
    </w:p>
  </w:footnote>
  <w:footnote w:id="11">
    <w:p w:rsidR="000239DD" w:rsidRDefault="000239DD">
      <w:pPr>
        <w:pStyle w:val="FootnoteText"/>
      </w:pPr>
      <w:r>
        <w:rPr>
          <w:rStyle w:val="FootnoteReference"/>
        </w:rPr>
        <w:footnoteRef/>
      </w:r>
      <w:r>
        <w:t xml:space="preserve"> P103 Gooder P. </w:t>
      </w:r>
      <w:r w:rsidRPr="0011352C">
        <w:rPr>
          <w:i/>
        </w:rPr>
        <w:t>Some Reflecting on New Testament</w:t>
      </w:r>
      <w:r>
        <w:t xml:space="preserve"> Material in Ed David Clark, </w:t>
      </w:r>
      <w:r w:rsidRPr="0011352C">
        <w:rPr>
          <w:i/>
        </w:rPr>
        <w:t>The Diaconal Church</w:t>
      </w:r>
      <w:r>
        <w:t>. (Epworth: Peterborough) 2008</w:t>
      </w:r>
    </w:p>
  </w:footnote>
  <w:footnote w:id="12">
    <w:p w:rsidR="000239DD" w:rsidRPr="00B3748D" w:rsidRDefault="000239DD">
      <w:pPr>
        <w:pStyle w:val="FootnoteText"/>
      </w:pPr>
      <w:r>
        <w:rPr>
          <w:rStyle w:val="FootnoteReference"/>
        </w:rPr>
        <w:footnoteRef/>
      </w:r>
      <w:r>
        <w:t xml:space="preserve"> Collins J. P.15 </w:t>
      </w:r>
      <w:r w:rsidRPr="00B3748D">
        <w:rPr>
          <w:i/>
        </w:rPr>
        <w:t>Ordained and Other Ministries</w:t>
      </w:r>
      <w:r>
        <w:rPr>
          <w:i/>
        </w:rPr>
        <w:t xml:space="preserve"> </w:t>
      </w:r>
      <w:r>
        <w:t>(Ecclesiology Volume 3 Issue 1 pp 15-33) 2006</w:t>
      </w:r>
    </w:p>
  </w:footnote>
  <w:footnote w:id="13">
    <w:p w:rsidR="000239DD" w:rsidRPr="00B3748D" w:rsidRDefault="000239DD">
      <w:pPr>
        <w:pStyle w:val="FootnoteText"/>
        <w:rPr>
          <w:i/>
        </w:rPr>
      </w:pPr>
      <w:r>
        <w:rPr>
          <w:rStyle w:val="FootnoteReference"/>
        </w:rPr>
        <w:footnoteRef/>
      </w:r>
      <w:r>
        <w:t xml:space="preserve"> PP40-42 Gooder P. </w:t>
      </w:r>
      <w:r w:rsidRPr="00B3748D">
        <w:rPr>
          <w:i/>
        </w:rPr>
        <w:t>Diakonia in the New Testament: a Dialogue with John N Collins.</w:t>
      </w:r>
      <w:r w:rsidRPr="00B3748D">
        <w:t xml:space="preserve"> </w:t>
      </w:r>
      <w:r>
        <w:t>(Ecclesiology Volume 3 Issue 1 pp 33-56) 2006</w:t>
      </w:r>
    </w:p>
  </w:footnote>
  <w:footnote w:id="14">
    <w:p w:rsidR="000239DD" w:rsidRDefault="000239DD">
      <w:pPr>
        <w:pStyle w:val="FootnoteText"/>
      </w:pPr>
      <w:r>
        <w:rPr>
          <w:rStyle w:val="FootnoteReference"/>
        </w:rPr>
        <w:footnoteRef/>
      </w:r>
      <w:r>
        <w:t xml:space="preserve"> P49 Gooder P. Ibid</w:t>
      </w:r>
    </w:p>
  </w:footnote>
  <w:footnote w:id="15">
    <w:p w:rsidR="000239DD" w:rsidRDefault="000239DD">
      <w:pPr>
        <w:pStyle w:val="FootnoteText"/>
      </w:pPr>
      <w:r>
        <w:rPr>
          <w:rStyle w:val="FootnoteReference"/>
        </w:rPr>
        <w:footnoteRef/>
      </w:r>
      <w:r>
        <w:t xml:space="preserve"> John 13 v 16,</w:t>
      </w:r>
      <w:r w:rsidRPr="00B3748D">
        <w:rPr>
          <w:i/>
        </w:rPr>
        <w:t xml:space="preserve"> Holy Bible. New Revised Standard Version</w:t>
      </w:r>
      <w:r>
        <w:t xml:space="preserve"> (HarperCollins:London) 1998</w:t>
      </w:r>
    </w:p>
  </w:footnote>
  <w:footnote w:id="16">
    <w:p w:rsidR="000239DD" w:rsidRDefault="000239DD">
      <w:pPr>
        <w:pStyle w:val="FootnoteText"/>
      </w:pPr>
      <w:r>
        <w:rPr>
          <w:rStyle w:val="FootnoteReference"/>
        </w:rPr>
        <w:footnoteRef/>
      </w:r>
      <w:r>
        <w:t xml:space="preserve"> </w:t>
      </w:r>
      <w:hyperlink r:id="rId4" w:history="1">
        <w:r w:rsidRPr="00470D53">
          <w:rPr>
            <w:rStyle w:val="Hyperlink"/>
          </w:rPr>
          <w:t>http://biblehub.com/greek/strongs_1401.htm</w:t>
        </w:r>
      </w:hyperlink>
      <w:r>
        <w:t xml:space="preserve"> Accessed 8th April 2015</w:t>
      </w:r>
    </w:p>
  </w:footnote>
  <w:footnote w:id="17">
    <w:p w:rsidR="000239DD" w:rsidRDefault="000239DD">
      <w:pPr>
        <w:pStyle w:val="FootnoteText"/>
      </w:pPr>
      <w:r>
        <w:rPr>
          <w:rStyle w:val="FootnoteReference"/>
        </w:rPr>
        <w:footnoteRef/>
      </w:r>
      <w:r>
        <w:t xml:space="preserve"> </w:t>
      </w:r>
      <w:hyperlink r:id="rId5" w:history="1">
        <w:r w:rsidRPr="00470D53">
          <w:rPr>
            <w:rStyle w:val="Hyperlink"/>
          </w:rPr>
          <w:t>http://biblehub.com/greek/1249.htm</w:t>
        </w:r>
      </w:hyperlink>
      <w:r>
        <w:t xml:space="preserve"> Accessed 8th April 2015</w:t>
      </w:r>
    </w:p>
  </w:footnote>
  <w:footnote w:id="18">
    <w:p w:rsidR="000239DD" w:rsidRDefault="000239DD">
      <w:pPr>
        <w:pStyle w:val="FootnoteText"/>
      </w:pPr>
      <w:r>
        <w:rPr>
          <w:rStyle w:val="FootnoteReference"/>
        </w:rPr>
        <w:footnoteRef/>
      </w:r>
      <w:r>
        <w:t xml:space="preserve"> Gooder P. P 106 . Some reflecting on New Testament Material in Ed David Clark, The Diaconal Church. (Epworth: Peterborough) 2008</w:t>
      </w:r>
    </w:p>
  </w:footnote>
  <w:footnote w:id="19">
    <w:p w:rsidR="000239DD" w:rsidRDefault="000239DD">
      <w:pPr>
        <w:pStyle w:val="FootnoteText"/>
      </w:pPr>
      <w:r>
        <w:rPr>
          <w:rStyle w:val="FootnoteReference"/>
        </w:rPr>
        <w:footnoteRef/>
      </w:r>
      <w:r>
        <w:t xml:space="preserve"> P.129 Cragg K. </w:t>
      </w:r>
      <w:r w:rsidRPr="00DB5D5C">
        <w:rPr>
          <w:i/>
        </w:rPr>
        <w:t>The order of the Wounded Hands</w:t>
      </w:r>
      <w:r>
        <w:t xml:space="preserve"> (Melisinde:London) 2006</w:t>
      </w:r>
    </w:p>
  </w:footnote>
  <w:footnote w:id="20">
    <w:p w:rsidR="000239DD" w:rsidRDefault="000239DD">
      <w:pPr>
        <w:pStyle w:val="FootnoteText"/>
      </w:pPr>
      <w:r>
        <w:rPr>
          <w:rStyle w:val="FootnoteReference"/>
        </w:rPr>
        <w:footnoteRef/>
      </w:r>
      <w:r>
        <w:t xml:space="preserve"> </w:t>
      </w:r>
      <w:hyperlink r:id="rId6" w:history="1">
        <w:r w:rsidRPr="00D81569">
          <w:rPr>
            <w:rStyle w:val="Hyperlink"/>
          </w:rPr>
          <w:t>https://www.churchofengland.org/prayer-worship/worship/texts/ordinal/priests.aspx</w:t>
        </w:r>
      </w:hyperlink>
      <w:r>
        <w:t xml:space="preserve"> Accessed 10th April 2015</w:t>
      </w:r>
    </w:p>
  </w:footnote>
  <w:footnote w:id="21">
    <w:p w:rsidR="000239DD" w:rsidRDefault="000239DD">
      <w:pPr>
        <w:pStyle w:val="FootnoteText"/>
      </w:pPr>
      <w:r>
        <w:rPr>
          <w:rStyle w:val="FootnoteReference"/>
        </w:rPr>
        <w:footnoteRef/>
      </w:r>
      <w:r>
        <w:t xml:space="preserve"> </w:t>
      </w:r>
      <w:hyperlink r:id="rId7" w:history="1">
        <w:r w:rsidRPr="00D81569">
          <w:rPr>
            <w:rStyle w:val="Hyperlink"/>
          </w:rPr>
          <w:t>https://www.biblegateway.com/passage/?search=1+Peter+2%3A9&amp;version=NRSV</w:t>
        </w:r>
      </w:hyperlink>
      <w:r>
        <w:t xml:space="preserve"> Accessed 10</w:t>
      </w:r>
      <w:r w:rsidRPr="00DB5D5C">
        <w:rPr>
          <w:vertAlign w:val="superscript"/>
        </w:rPr>
        <w:t>th</w:t>
      </w:r>
      <w:r>
        <w:t xml:space="preserve"> April 2015</w:t>
      </w:r>
    </w:p>
  </w:footnote>
  <w:footnote w:id="22">
    <w:p w:rsidR="000239DD" w:rsidRDefault="000239DD">
      <w:pPr>
        <w:pStyle w:val="FootnoteText"/>
      </w:pPr>
      <w:r>
        <w:rPr>
          <w:rStyle w:val="FootnoteReference"/>
        </w:rPr>
        <w:footnoteRef/>
      </w:r>
      <w:r>
        <w:t xml:space="preserve"> P.11.The Faith and Order Advisory Group of the Church of England. </w:t>
      </w:r>
      <w:r w:rsidRPr="00761DAF">
        <w:rPr>
          <w:i/>
        </w:rPr>
        <w:t>The Mission and Ministry of the Whole Church GS Misc 854</w:t>
      </w:r>
      <w:r>
        <w:t xml:space="preserve"> (Archbishops’ Council:2007) London</w:t>
      </w:r>
    </w:p>
  </w:footnote>
  <w:footnote w:id="23">
    <w:p w:rsidR="000239DD" w:rsidRDefault="000239DD">
      <w:pPr>
        <w:pStyle w:val="FootnoteText"/>
      </w:pPr>
      <w:r>
        <w:rPr>
          <w:rStyle w:val="FootnoteReference"/>
        </w:rPr>
        <w:footnoteRef/>
      </w:r>
      <w:r>
        <w:t xml:space="preserve"> P112 Collins J </w:t>
      </w:r>
      <w:r w:rsidRPr="00072FE9">
        <w:rPr>
          <w:i/>
        </w:rPr>
        <w:t>Diakonia Studies</w:t>
      </w:r>
      <w:r>
        <w:rPr>
          <w:i/>
        </w:rPr>
        <w:t xml:space="preserve"> </w:t>
      </w:r>
      <w:r>
        <w:t>(Oxford University Press:Oxford) 2014</w:t>
      </w:r>
    </w:p>
  </w:footnote>
  <w:footnote w:id="24">
    <w:p w:rsidR="000239DD" w:rsidRDefault="000239DD">
      <w:pPr>
        <w:pStyle w:val="FootnoteText"/>
      </w:pPr>
      <w:r>
        <w:rPr>
          <w:rStyle w:val="FootnoteReference"/>
        </w:rPr>
        <w:footnoteRef/>
      </w:r>
      <w:r>
        <w:t xml:space="preserve"> P149 ibid</w:t>
      </w:r>
    </w:p>
  </w:footnote>
  <w:footnote w:id="25">
    <w:p w:rsidR="000239DD" w:rsidRDefault="000239DD">
      <w:pPr>
        <w:pStyle w:val="FootnoteText"/>
      </w:pPr>
      <w:r>
        <w:rPr>
          <w:rStyle w:val="FootnoteReference"/>
        </w:rPr>
        <w:footnoteRef/>
      </w:r>
      <w:r>
        <w:t xml:space="preserve"> P210 ibid</w:t>
      </w:r>
    </w:p>
  </w:footnote>
  <w:footnote w:id="26">
    <w:p w:rsidR="000239DD" w:rsidRDefault="000239DD">
      <w:pPr>
        <w:pStyle w:val="FootnoteText"/>
      </w:pPr>
      <w:r>
        <w:rPr>
          <w:rStyle w:val="FootnoteReference"/>
        </w:rPr>
        <w:footnoteRef/>
      </w:r>
      <w:r>
        <w:t xml:space="preserve"> P123 Collins J. Deacons and the Church (Gracewing: Herefordshire) 2002.</w:t>
      </w:r>
    </w:p>
  </w:footnote>
  <w:footnote w:id="27">
    <w:p w:rsidR="000239DD" w:rsidRPr="009D19C1" w:rsidRDefault="000239DD">
      <w:pPr>
        <w:pStyle w:val="FootnoteText"/>
        <w:rPr>
          <w:i/>
        </w:rPr>
      </w:pPr>
      <w:r>
        <w:rPr>
          <w:rStyle w:val="FootnoteReference"/>
        </w:rPr>
        <w:footnoteRef/>
      </w:r>
      <w:r>
        <w:t xml:space="preserve">P83 Croft S. </w:t>
      </w:r>
      <w:r w:rsidRPr="009D19C1">
        <w:rPr>
          <w:i/>
        </w:rPr>
        <w:t>Serving, Sustaining and Connecting</w:t>
      </w:r>
      <w:r>
        <w:t xml:space="preserve"> in Ed. Steve Croft </w:t>
      </w:r>
      <w:r w:rsidRPr="009D19C1">
        <w:rPr>
          <w:i/>
        </w:rPr>
        <w:t>The Future of the Parish System</w:t>
      </w:r>
      <w:r>
        <w:t xml:space="preserve"> (Church House Publishing:London)2006</w:t>
      </w:r>
    </w:p>
  </w:footnote>
  <w:footnote w:id="28">
    <w:p w:rsidR="000239DD" w:rsidRDefault="000239DD">
      <w:pPr>
        <w:pStyle w:val="FootnoteText"/>
      </w:pPr>
      <w:r>
        <w:rPr>
          <w:rStyle w:val="FootnoteReference"/>
        </w:rPr>
        <w:footnoteRef/>
      </w:r>
      <w:r>
        <w:t xml:space="preserve"> P53 Collins J </w:t>
      </w:r>
      <w:r w:rsidRPr="00072FE9">
        <w:rPr>
          <w:i/>
        </w:rPr>
        <w:t>Diakonia Studies</w:t>
      </w:r>
      <w:r>
        <w:rPr>
          <w:i/>
        </w:rPr>
        <w:t xml:space="preserve"> </w:t>
      </w:r>
      <w:r>
        <w:t>(Oxford University Press:Oxford) 2014</w:t>
      </w:r>
    </w:p>
  </w:footnote>
  <w:footnote w:id="29">
    <w:p w:rsidR="000239DD" w:rsidRDefault="000239DD">
      <w:pPr>
        <w:pStyle w:val="FootnoteText"/>
      </w:pPr>
      <w:r>
        <w:rPr>
          <w:rStyle w:val="FootnoteReference"/>
        </w:rPr>
        <w:footnoteRef/>
      </w:r>
      <w:r>
        <w:t xml:space="preserve"> P110 Avis P. </w:t>
      </w:r>
      <w:r w:rsidRPr="00832457">
        <w:rPr>
          <w:i/>
        </w:rPr>
        <w:t>A Ministry Shaped by Mission</w:t>
      </w:r>
      <w:r>
        <w:t xml:space="preserve"> (T&amp;T Clark) 2005</w:t>
      </w:r>
    </w:p>
  </w:footnote>
  <w:footnote w:id="30">
    <w:p w:rsidR="000239DD" w:rsidRPr="008C5EEB" w:rsidRDefault="000239DD">
      <w:pPr>
        <w:pStyle w:val="FootnoteText"/>
      </w:pPr>
      <w:r>
        <w:rPr>
          <w:rStyle w:val="FootnoteReference"/>
        </w:rPr>
        <w:footnoteRef/>
      </w:r>
      <w:r>
        <w:t xml:space="preserve"> P8</w:t>
      </w:r>
      <w:r w:rsidRPr="008C5EEB">
        <w:rPr>
          <w:i/>
        </w:rPr>
        <w:t>. Generous Love</w:t>
      </w:r>
      <w:r>
        <w:rPr>
          <w:i/>
        </w:rPr>
        <w:t xml:space="preserve"> </w:t>
      </w:r>
      <w:r>
        <w:t xml:space="preserve"> A report from the Anglican Communion Network for Inter Faith Concerns. (Anglican Consultative Council:London) 2008</w:t>
      </w:r>
    </w:p>
  </w:footnote>
  <w:footnote w:id="31">
    <w:p w:rsidR="000239DD" w:rsidRDefault="000239DD" w:rsidP="00E94B6F">
      <w:pPr>
        <w:pStyle w:val="FootnoteText"/>
      </w:pPr>
      <w:r>
        <w:rPr>
          <w:rStyle w:val="FootnoteReference"/>
        </w:rPr>
        <w:footnoteRef/>
      </w:r>
      <w:r>
        <w:t xml:space="preserve"> P294 Nordstokke K. </w:t>
      </w:r>
      <w:r w:rsidRPr="001B7AAA">
        <w:rPr>
          <w:i/>
        </w:rPr>
        <w:t xml:space="preserve">Diakonia and diaconate in the World Council of Churches </w:t>
      </w:r>
      <w:r>
        <w:t xml:space="preserve">in </w:t>
      </w:r>
      <w:r w:rsidRPr="00950B37">
        <w:rPr>
          <w:i/>
        </w:rPr>
        <w:t>International Journal for the Study of the Christian Church Volume</w:t>
      </w:r>
      <w:r>
        <w:t xml:space="preserve"> 13 Number 4 2013.</w:t>
      </w:r>
    </w:p>
  </w:footnote>
  <w:footnote w:id="32">
    <w:p w:rsidR="000239DD" w:rsidRDefault="000239DD">
      <w:pPr>
        <w:pStyle w:val="FootnoteText"/>
      </w:pPr>
      <w:r>
        <w:rPr>
          <w:rStyle w:val="FootnoteReference"/>
        </w:rPr>
        <w:footnoteRef/>
      </w:r>
      <w:r>
        <w:t xml:space="preserve"> </w:t>
      </w:r>
      <w:hyperlink r:id="rId8" w:history="1">
        <w:r w:rsidRPr="009A70F9">
          <w:rPr>
            <w:rStyle w:val="Hyperlink"/>
          </w:rPr>
          <w:t>http://www.churchgrowthresearch.org.uk/UserFiles/File/Reports/FromAnecdoteToEvidence1.0.pdf</w:t>
        </w:r>
      </w:hyperlink>
      <w:r>
        <w:t xml:space="preserve"> Accessed 10th July 2015</w:t>
      </w:r>
    </w:p>
  </w:footnote>
  <w:footnote w:id="33">
    <w:p w:rsidR="000239DD" w:rsidRDefault="000239DD">
      <w:pPr>
        <w:pStyle w:val="FootnoteText"/>
      </w:pPr>
      <w:r>
        <w:rPr>
          <w:rStyle w:val="FootnoteReference"/>
        </w:rPr>
        <w:footnoteRef/>
      </w:r>
      <w:r>
        <w:t xml:space="preserve"> P28-29 Presence and Engagement – the Church’s task in a Multi-Faith society. (General Synod:London)2005</w:t>
      </w:r>
    </w:p>
  </w:footnote>
  <w:footnote w:id="34">
    <w:p w:rsidR="000239DD" w:rsidRDefault="000239DD">
      <w:pPr>
        <w:pStyle w:val="FootnoteText"/>
      </w:pPr>
      <w:r>
        <w:rPr>
          <w:rStyle w:val="FootnoteReference"/>
        </w:rPr>
        <w:footnoteRef/>
      </w:r>
      <w:r>
        <w:t xml:space="preserve"> </w:t>
      </w:r>
      <w:hyperlink r:id="rId9" w:history="1">
        <w:r w:rsidRPr="00046916">
          <w:rPr>
            <w:rStyle w:val="Hyperlink"/>
          </w:rPr>
          <w:t>http://www.ons.gov.uk/ons/rel/census/2011-census/key-statistics-for-local-authorities-in-england-and-wales/rpt-religion.html</w:t>
        </w:r>
      </w:hyperlink>
      <w:r>
        <w:t>. Accessed 9</w:t>
      </w:r>
      <w:r w:rsidRPr="00D53608">
        <w:rPr>
          <w:vertAlign w:val="superscript"/>
        </w:rPr>
        <w:t>th</w:t>
      </w:r>
      <w:r>
        <w:t xml:space="preserve"> April 2015</w:t>
      </w:r>
    </w:p>
  </w:footnote>
  <w:footnote w:id="35">
    <w:p w:rsidR="000239DD" w:rsidRDefault="000239DD">
      <w:pPr>
        <w:pStyle w:val="FootnoteText"/>
      </w:pPr>
      <w:r>
        <w:rPr>
          <w:rStyle w:val="FootnoteReference"/>
        </w:rPr>
        <w:footnoteRef/>
      </w:r>
      <w:r>
        <w:t xml:space="preserve"> </w:t>
      </w:r>
      <w:hyperlink r:id="rId10" w:history="1">
        <w:r w:rsidRPr="0070563B">
          <w:rPr>
            <w:rStyle w:val="Hyperlink"/>
          </w:rPr>
          <w:t>http://www.bbc.co.uk/news/uk-32722155</w:t>
        </w:r>
      </w:hyperlink>
      <w:r>
        <w:t xml:space="preserve"> Accessed 25th May 2015.</w:t>
      </w:r>
    </w:p>
  </w:footnote>
  <w:footnote w:id="36">
    <w:p w:rsidR="000239DD" w:rsidRDefault="000239DD">
      <w:pPr>
        <w:pStyle w:val="FootnoteText"/>
      </w:pPr>
      <w:r>
        <w:rPr>
          <w:rStyle w:val="FootnoteReference"/>
        </w:rPr>
        <w:footnoteRef/>
      </w:r>
      <w:r>
        <w:t xml:space="preserve"> </w:t>
      </w:r>
      <w:hyperlink r:id="rId11" w:history="1">
        <w:r w:rsidRPr="0070563B">
          <w:rPr>
            <w:rStyle w:val="Hyperlink"/>
          </w:rPr>
          <w:t>http://www.bbc.co.uk/news/uk-32722155</w:t>
        </w:r>
      </w:hyperlink>
      <w:r>
        <w:t xml:space="preserve"> Accessed 25th May 2015.</w:t>
      </w:r>
    </w:p>
  </w:footnote>
  <w:footnote w:id="37">
    <w:p w:rsidR="000239DD" w:rsidRDefault="000239DD">
      <w:pPr>
        <w:pStyle w:val="FootnoteText"/>
      </w:pPr>
      <w:r>
        <w:rPr>
          <w:rStyle w:val="FootnoteReference"/>
        </w:rPr>
        <w:footnoteRef/>
      </w:r>
      <w:r>
        <w:t xml:space="preserve"> P3 Presence and Engagement</w:t>
      </w:r>
    </w:p>
  </w:footnote>
  <w:footnote w:id="38">
    <w:p w:rsidR="000239DD" w:rsidRDefault="000239DD">
      <w:pPr>
        <w:pStyle w:val="FootnoteText"/>
      </w:pPr>
      <w:r>
        <w:rPr>
          <w:rStyle w:val="FootnoteReference"/>
        </w:rPr>
        <w:footnoteRef/>
      </w:r>
      <w:r>
        <w:t xml:space="preserve"> P8 Presence and Engagement</w:t>
      </w:r>
    </w:p>
  </w:footnote>
  <w:footnote w:id="39">
    <w:p w:rsidR="000239DD" w:rsidRDefault="000239DD">
      <w:pPr>
        <w:pStyle w:val="FootnoteText"/>
      </w:pPr>
      <w:r>
        <w:rPr>
          <w:rStyle w:val="FootnoteReference"/>
        </w:rPr>
        <w:footnoteRef/>
      </w:r>
      <w:r>
        <w:t xml:space="preserve"> P11 Presence and Engagement</w:t>
      </w:r>
    </w:p>
  </w:footnote>
  <w:footnote w:id="40">
    <w:p w:rsidR="000239DD" w:rsidRDefault="000239DD">
      <w:pPr>
        <w:pStyle w:val="FootnoteText"/>
      </w:pPr>
      <w:r>
        <w:rPr>
          <w:rStyle w:val="FootnoteReference"/>
        </w:rPr>
        <w:footnoteRef/>
      </w:r>
      <w:r>
        <w:t xml:space="preserve"> P13 Presence and Engagement</w:t>
      </w:r>
    </w:p>
  </w:footnote>
  <w:footnote w:id="41">
    <w:p w:rsidR="000239DD" w:rsidRDefault="000239DD">
      <w:pPr>
        <w:pStyle w:val="FootnoteText"/>
      </w:pPr>
      <w:r>
        <w:rPr>
          <w:rStyle w:val="FootnoteReference"/>
        </w:rPr>
        <w:footnoteRef/>
      </w:r>
      <w:r>
        <w:t xml:space="preserve"> P47 Presence and Engagement</w:t>
      </w:r>
    </w:p>
  </w:footnote>
  <w:footnote w:id="42">
    <w:p w:rsidR="000239DD" w:rsidRDefault="000239DD">
      <w:pPr>
        <w:pStyle w:val="FootnoteText"/>
      </w:pPr>
      <w:r>
        <w:rPr>
          <w:rStyle w:val="FootnoteReference"/>
        </w:rPr>
        <w:footnoteRef/>
      </w:r>
      <w:r>
        <w:t xml:space="preserve"> PP221-25 Presence and Engagement</w:t>
      </w:r>
    </w:p>
  </w:footnote>
  <w:footnote w:id="43">
    <w:p w:rsidR="000239DD" w:rsidRDefault="000239DD">
      <w:pPr>
        <w:pStyle w:val="FootnoteText"/>
      </w:pPr>
      <w:r>
        <w:rPr>
          <w:rStyle w:val="FootnoteReference"/>
        </w:rPr>
        <w:footnoteRef/>
      </w:r>
      <w:r>
        <w:t xml:space="preserve"> PP36-37 Presence and Engagement</w:t>
      </w:r>
    </w:p>
  </w:footnote>
  <w:footnote w:id="44">
    <w:p w:rsidR="000239DD" w:rsidRDefault="000239DD">
      <w:pPr>
        <w:pStyle w:val="FootnoteText"/>
      </w:pPr>
      <w:r>
        <w:rPr>
          <w:rStyle w:val="FootnoteReference"/>
        </w:rPr>
        <w:footnoteRef/>
      </w:r>
      <w:r>
        <w:t xml:space="preserve"> P 69 -70 Presence and Engagaement</w:t>
      </w:r>
    </w:p>
  </w:footnote>
  <w:footnote w:id="45">
    <w:p w:rsidR="000239DD" w:rsidRDefault="000239DD">
      <w:pPr>
        <w:pStyle w:val="FootnoteText"/>
      </w:pPr>
      <w:r>
        <w:rPr>
          <w:rStyle w:val="FootnoteReference"/>
        </w:rPr>
        <w:footnoteRef/>
      </w:r>
      <w:r>
        <w:t xml:space="preserve"> </w:t>
      </w:r>
      <w:hyperlink r:id="rId12" w:history="1">
        <w:r w:rsidRPr="00112470">
          <w:rPr>
            <w:rStyle w:val="Hyperlink"/>
          </w:rPr>
          <w:t>https://www.cuf.org.uk/sites/default/files/PDFs/NearNeighbours/Evaluation/Woolf_NearNeighboursReport.pdf</w:t>
        </w:r>
      </w:hyperlink>
      <w:r>
        <w:t xml:space="preserve"> Accessed 26th May 2015</w:t>
      </w:r>
    </w:p>
  </w:footnote>
  <w:footnote w:id="46">
    <w:p w:rsidR="000239DD" w:rsidRPr="005C2DB3" w:rsidRDefault="000239DD" w:rsidP="005C2DB3">
      <w:pPr>
        <w:spacing w:after="0"/>
        <w:rPr>
          <w:sz w:val="20"/>
          <w:szCs w:val="20"/>
        </w:rPr>
      </w:pPr>
      <w:r w:rsidRPr="005C2DB3">
        <w:rPr>
          <w:rStyle w:val="FootnoteReference"/>
          <w:sz w:val="20"/>
          <w:szCs w:val="20"/>
        </w:rPr>
        <w:footnoteRef/>
      </w:r>
      <w:r w:rsidRPr="005C2DB3">
        <w:rPr>
          <w:sz w:val="20"/>
          <w:szCs w:val="20"/>
        </w:rPr>
        <w:t xml:space="preserve"> </w:t>
      </w:r>
      <w:hyperlink r:id="rId13" w:history="1">
        <w:r w:rsidRPr="005C2DB3">
          <w:rPr>
            <w:rStyle w:val="Hyperlink"/>
            <w:sz w:val="20"/>
            <w:szCs w:val="20"/>
          </w:rPr>
          <w:t>http://www.sheffield.anglican.org/UserFiles/File/Training/distinctive_deacon.pdf</w:t>
        </w:r>
      </w:hyperlink>
      <w:r w:rsidRPr="005C2DB3">
        <w:rPr>
          <w:sz w:val="20"/>
          <w:szCs w:val="20"/>
        </w:rPr>
        <w:t xml:space="preserve"> Accessed 11th June 2015</w:t>
      </w:r>
    </w:p>
  </w:footnote>
  <w:footnote w:id="47">
    <w:p w:rsidR="000239DD" w:rsidRDefault="000239DD">
      <w:pPr>
        <w:pStyle w:val="FootnoteText"/>
      </w:pPr>
      <w:r>
        <w:rPr>
          <w:rStyle w:val="FootnoteReference"/>
        </w:rPr>
        <w:footnoteRef/>
      </w:r>
      <w:r>
        <w:t xml:space="preserve"> P216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 xml:space="preserve">Cross-road </w:t>
      </w:r>
      <w:r w:rsidR="00FD2553">
        <w:rPr>
          <w:rFonts w:eastAsia="Times New Roman" w:cs="Arial"/>
        </w:rPr>
        <w:t>P</w:t>
      </w:r>
      <w:r>
        <w:rPr>
          <w:rFonts w:eastAsia="Times New Roman" w:cs="Arial"/>
        </w:rPr>
        <w:t xml:space="preserve">ublishing </w:t>
      </w:r>
      <w:r w:rsidR="00FD2553">
        <w:rPr>
          <w:rFonts w:eastAsia="Times New Roman" w:cs="Arial"/>
        </w:rPr>
        <w:t>C</w:t>
      </w:r>
      <w:r>
        <w:rPr>
          <w:rFonts w:eastAsia="Times New Roman" w:cs="Arial"/>
        </w:rPr>
        <w:t>ompany:</w:t>
      </w:r>
      <w:r w:rsidR="00FD2553">
        <w:rPr>
          <w:rFonts w:eastAsia="Times New Roman" w:cs="Arial"/>
        </w:rPr>
        <w:t xml:space="preserve"> </w:t>
      </w:r>
      <w:r>
        <w:rPr>
          <w:rFonts w:eastAsia="Times New Roman" w:cs="Arial"/>
        </w:rPr>
        <w:t>New York)</w:t>
      </w:r>
      <w:r w:rsidR="00FD2553">
        <w:rPr>
          <w:rFonts w:eastAsia="Times New Roman" w:cs="Arial"/>
        </w:rPr>
        <w:t xml:space="preserve"> </w:t>
      </w:r>
      <w:r>
        <w:rPr>
          <w:rFonts w:eastAsia="Times New Roman" w:cs="Arial"/>
        </w:rPr>
        <w:t>2008</w:t>
      </w:r>
    </w:p>
  </w:footnote>
  <w:footnote w:id="48">
    <w:p w:rsidR="000239DD" w:rsidRDefault="000239DD">
      <w:pPr>
        <w:pStyle w:val="FootnoteText"/>
      </w:pPr>
      <w:r>
        <w:rPr>
          <w:rStyle w:val="FootnoteReference"/>
        </w:rPr>
        <w:footnoteRef/>
      </w:r>
      <w:r>
        <w:t xml:space="preserve"> P11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w:t>
      </w:r>
      <w:r w:rsidR="00FD2553">
        <w:rPr>
          <w:rFonts w:eastAsia="Times New Roman" w:cs="Arial"/>
        </w:rPr>
        <w:t>R</w:t>
      </w:r>
      <w:r>
        <w:rPr>
          <w:rFonts w:eastAsia="Times New Roman" w:cs="Arial"/>
        </w:rPr>
        <w:t xml:space="preserve">oad </w:t>
      </w:r>
      <w:r w:rsidR="00FD2553">
        <w:rPr>
          <w:rFonts w:eastAsia="Times New Roman" w:cs="Arial"/>
        </w:rPr>
        <w:t>P</w:t>
      </w:r>
      <w:r>
        <w:rPr>
          <w:rFonts w:eastAsia="Times New Roman" w:cs="Arial"/>
        </w:rPr>
        <w:t xml:space="preserve">ublishing </w:t>
      </w:r>
      <w:r w:rsidR="00FD2553">
        <w:rPr>
          <w:rFonts w:eastAsia="Times New Roman" w:cs="Arial"/>
        </w:rPr>
        <w:t>C</w:t>
      </w:r>
      <w:r>
        <w:rPr>
          <w:rFonts w:eastAsia="Times New Roman" w:cs="Arial"/>
        </w:rPr>
        <w:t>ompany:</w:t>
      </w:r>
      <w:r w:rsidR="00FD2553">
        <w:rPr>
          <w:rFonts w:eastAsia="Times New Roman" w:cs="Arial"/>
        </w:rPr>
        <w:t xml:space="preserve"> </w:t>
      </w:r>
      <w:r>
        <w:rPr>
          <w:rFonts w:eastAsia="Times New Roman" w:cs="Arial"/>
        </w:rPr>
        <w:t>New York)2008</w:t>
      </w:r>
    </w:p>
  </w:footnote>
  <w:footnote w:id="49">
    <w:p w:rsidR="000239DD" w:rsidRDefault="000239DD">
      <w:pPr>
        <w:pStyle w:val="FootnoteText"/>
      </w:pPr>
      <w:r>
        <w:rPr>
          <w:rStyle w:val="FootnoteReference"/>
        </w:rPr>
        <w:footnoteRef/>
      </w:r>
      <w:r>
        <w:t xml:space="preserve"> P19 Ibid</w:t>
      </w:r>
    </w:p>
  </w:footnote>
  <w:footnote w:id="50">
    <w:p w:rsidR="000239DD" w:rsidRDefault="000239DD">
      <w:pPr>
        <w:pStyle w:val="FootnoteText"/>
      </w:pPr>
      <w:r>
        <w:rPr>
          <w:rStyle w:val="FootnoteReference"/>
        </w:rPr>
        <w:footnoteRef/>
      </w:r>
      <w:r>
        <w:t xml:space="preserve"> P1</w:t>
      </w:r>
      <w:r w:rsidRPr="008C5EEB">
        <w:rPr>
          <w:i/>
        </w:rPr>
        <w:t>. Generous Love</w:t>
      </w:r>
      <w:r>
        <w:rPr>
          <w:i/>
        </w:rPr>
        <w:t xml:space="preserve"> </w:t>
      </w:r>
      <w:r>
        <w:t xml:space="preserve"> A report from the Anglican Communion Network for Inter Faith Concerns. (Anglican Consultative Council:London) 2008</w:t>
      </w:r>
    </w:p>
  </w:footnote>
  <w:footnote w:id="51">
    <w:p w:rsidR="000239DD" w:rsidRDefault="000239DD" w:rsidP="00CC4612">
      <w:pPr>
        <w:pStyle w:val="FootnoteText"/>
      </w:pPr>
      <w:r>
        <w:rPr>
          <w:rStyle w:val="FootnoteReference"/>
        </w:rPr>
        <w:footnoteRef/>
      </w:r>
      <w:r>
        <w:t xml:space="preserve"> P1</w:t>
      </w:r>
      <w:r w:rsidRPr="008C5EEB">
        <w:rPr>
          <w:i/>
        </w:rPr>
        <w:t>. Generous Love</w:t>
      </w:r>
      <w:r>
        <w:rPr>
          <w:i/>
        </w:rPr>
        <w:t xml:space="preserve"> </w:t>
      </w:r>
      <w:r>
        <w:t xml:space="preserve"> A report from the Anglican Communion Network for Inter Faith Concerns. (Anglican Consultative Council:London) 2008</w:t>
      </w:r>
    </w:p>
  </w:footnote>
  <w:footnote w:id="52">
    <w:p w:rsidR="000239DD" w:rsidRDefault="000239DD">
      <w:pPr>
        <w:pStyle w:val="FootnoteText"/>
      </w:pPr>
      <w:r>
        <w:rPr>
          <w:rStyle w:val="FootnoteReference"/>
        </w:rPr>
        <w:footnoteRef/>
      </w:r>
      <w:r>
        <w:t xml:space="preserve"> Prologue Wells S. </w:t>
      </w:r>
      <w:r w:rsidRPr="00ED105C">
        <w:rPr>
          <w:i/>
        </w:rPr>
        <w:t>A Nazareth Manifesto</w:t>
      </w:r>
      <w:r>
        <w:t xml:space="preserve"> (Wiley &amp; Sons: Chichester) 2015</w:t>
      </w:r>
    </w:p>
  </w:footnote>
  <w:footnote w:id="53">
    <w:p w:rsidR="000239DD" w:rsidRDefault="000239DD" w:rsidP="00B212C8">
      <w:pPr>
        <w:pStyle w:val="NormalWeb"/>
        <w:keepLines/>
        <w:spacing w:before="0" w:beforeAutospacing="0" w:after="0" w:afterAutospacing="0"/>
      </w:pPr>
      <w:r w:rsidRPr="00B212C8">
        <w:rPr>
          <w:rStyle w:val="FootnoteReference"/>
          <w:rFonts w:asciiTheme="minorHAnsi" w:hAnsiTheme="minorHAnsi"/>
          <w:sz w:val="20"/>
          <w:szCs w:val="20"/>
        </w:rPr>
        <w:footnoteRef/>
      </w:r>
      <w:r w:rsidRPr="00B212C8">
        <w:rPr>
          <w:rFonts w:asciiTheme="minorHAnsi" w:hAnsiTheme="minorHAnsi"/>
          <w:sz w:val="20"/>
          <w:szCs w:val="20"/>
        </w:rPr>
        <w:t xml:space="preserve"> P8 Brown R</w:t>
      </w:r>
      <w:r w:rsidRPr="00B212C8">
        <w:rPr>
          <w:sz w:val="20"/>
          <w:szCs w:val="20"/>
        </w:rPr>
        <w:t>.</w:t>
      </w:r>
      <w:r w:rsidRPr="00B212C8">
        <w:rPr>
          <w:rFonts w:asciiTheme="minorHAnsi" w:hAnsiTheme="minorHAnsi"/>
          <w:bCs/>
          <w:i/>
          <w:iCs/>
          <w:sz w:val="20"/>
          <w:szCs w:val="20"/>
        </w:rPr>
        <w:t>Being a Deacon Today: exploring a distinctive ministry in the church and in the world</w:t>
      </w:r>
      <w:r w:rsidRPr="00B212C8">
        <w:rPr>
          <w:rFonts w:asciiTheme="minorHAnsi" w:hAnsiTheme="minorHAnsi"/>
          <w:sz w:val="20"/>
          <w:szCs w:val="20"/>
        </w:rPr>
        <w:t xml:space="preserve"> (Canterbury Press,</w:t>
      </w:r>
      <w:r>
        <w:rPr>
          <w:rFonts w:asciiTheme="minorHAnsi" w:hAnsiTheme="minorHAnsi"/>
          <w:sz w:val="20"/>
          <w:szCs w:val="20"/>
        </w:rPr>
        <w:t xml:space="preserve"> London) 2005</w:t>
      </w:r>
    </w:p>
  </w:footnote>
  <w:footnote w:id="54">
    <w:p w:rsidR="000239DD" w:rsidRDefault="000239DD">
      <w:pPr>
        <w:pStyle w:val="FootnoteText"/>
      </w:pPr>
      <w:r>
        <w:rPr>
          <w:rStyle w:val="FootnoteReference"/>
        </w:rPr>
        <w:footnoteRef/>
      </w:r>
      <w:r>
        <w:t xml:space="preserve"> P60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Cross-road publishing company:New York)2008</w:t>
      </w:r>
    </w:p>
  </w:footnote>
  <w:footnote w:id="55">
    <w:p w:rsidR="000239DD" w:rsidRDefault="000239DD">
      <w:pPr>
        <w:pStyle w:val="FootnoteText"/>
      </w:pPr>
      <w:r>
        <w:rPr>
          <w:rStyle w:val="FootnoteReference"/>
        </w:rPr>
        <w:footnoteRef/>
      </w:r>
      <w:r>
        <w:t xml:space="preserve"> PP61-67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Cross-road publishing company:New York)2008</w:t>
      </w:r>
    </w:p>
  </w:footnote>
  <w:footnote w:id="56">
    <w:p w:rsidR="000239DD" w:rsidRDefault="000239DD">
      <w:pPr>
        <w:pStyle w:val="FootnoteText"/>
      </w:pPr>
      <w:r>
        <w:rPr>
          <w:rStyle w:val="FootnoteReference"/>
        </w:rPr>
        <w:footnoteRef/>
      </w:r>
      <w:r>
        <w:t xml:space="preserve"> P9 </w:t>
      </w:r>
      <w:r w:rsidRPr="008113E9">
        <w:t>G</w:t>
      </w:r>
      <w:r>
        <w:t>e</w:t>
      </w:r>
      <w:r w:rsidRPr="008C5EEB">
        <w:rPr>
          <w:i/>
        </w:rPr>
        <w:t>nerous Love</w:t>
      </w:r>
      <w:r>
        <w:rPr>
          <w:i/>
        </w:rPr>
        <w:t xml:space="preserve"> </w:t>
      </w:r>
      <w:r>
        <w:t xml:space="preserve"> A report from the Anglican Communion Network for Inter Faith Concerns. (Anglican Consultative Council:London) 2008</w:t>
      </w:r>
    </w:p>
  </w:footnote>
  <w:footnote w:id="57">
    <w:p w:rsidR="000239DD" w:rsidRDefault="000239DD">
      <w:pPr>
        <w:pStyle w:val="FootnoteText"/>
      </w:pPr>
      <w:r>
        <w:rPr>
          <w:rStyle w:val="FootnoteReference"/>
        </w:rPr>
        <w:footnoteRef/>
      </w:r>
      <w:r>
        <w:t xml:space="preserve">  </w:t>
      </w:r>
      <w:r w:rsidR="00113478">
        <w:t xml:space="preserve">P.3 </w:t>
      </w:r>
      <w:r w:rsidRPr="008C5EEB">
        <w:rPr>
          <w:i/>
        </w:rPr>
        <w:t>Generous Love</w:t>
      </w:r>
      <w:r>
        <w:rPr>
          <w:i/>
        </w:rPr>
        <w:t xml:space="preserve"> </w:t>
      </w:r>
      <w:r>
        <w:t xml:space="preserve"> A report from the Anglican Communion Network for Inter Faith Concerns. (Anglican Consultative Council:</w:t>
      </w:r>
      <w:r w:rsidR="00113478">
        <w:t xml:space="preserve"> </w:t>
      </w:r>
      <w:r>
        <w:t xml:space="preserve">London) 2008 </w:t>
      </w:r>
    </w:p>
  </w:footnote>
  <w:footnote w:id="58">
    <w:p w:rsidR="00113478" w:rsidRDefault="00113478">
      <w:pPr>
        <w:pStyle w:val="FootnoteText"/>
      </w:pPr>
      <w:r>
        <w:rPr>
          <w:rStyle w:val="FootnoteReference"/>
        </w:rPr>
        <w:footnoteRef/>
      </w:r>
      <w:r>
        <w:t xml:space="preserve"> P.4 </w:t>
      </w:r>
      <w:r w:rsidRPr="008C5EEB">
        <w:rPr>
          <w:i/>
        </w:rPr>
        <w:t>Generous Love</w:t>
      </w:r>
      <w:r>
        <w:rPr>
          <w:i/>
        </w:rPr>
        <w:t xml:space="preserve"> </w:t>
      </w:r>
      <w:r>
        <w:t xml:space="preserve"> A report from the Anglican Communion Network for Inter Faith Concerns. (Anglican Consultative Council: London) 2008</w:t>
      </w:r>
    </w:p>
  </w:footnote>
  <w:footnote w:id="59">
    <w:p w:rsidR="000239DD" w:rsidRDefault="000239DD">
      <w:pPr>
        <w:pStyle w:val="FootnoteText"/>
      </w:pPr>
      <w:r>
        <w:rPr>
          <w:rStyle w:val="FootnoteReference"/>
        </w:rPr>
        <w:footnoteRef/>
      </w:r>
      <w:r>
        <w:t xml:space="preserve"> PP138-139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 xml:space="preserve">Cross-road </w:t>
      </w:r>
      <w:r w:rsidR="00113478">
        <w:rPr>
          <w:rFonts w:eastAsia="Times New Roman" w:cs="Arial"/>
        </w:rPr>
        <w:t>P</w:t>
      </w:r>
      <w:r>
        <w:rPr>
          <w:rFonts w:eastAsia="Times New Roman" w:cs="Arial"/>
        </w:rPr>
        <w:t xml:space="preserve">ublishing </w:t>
      </w:r>
      <w:r w:rsidR="00113478">
        <w:rPr>
          <w:rFonts w:eastAsia="Times New Roman" w:cs="Arial"/>
        </w:rPr>
        <w:t>C</w:t>
      </w:r>
      <w:r>
        <w:rPr>
          <w:rFonts w:eastAsia="Times New Roman" w:cs="Arial"/>
        </w:rPr>
        <w:t>ompany:</w:t>
      </w:r>
      <w:r w:rsidR="00113478">
        <w:rPr>
          <w:rFonts w:eastAsia="Times New Roman" w:cs="Arial"/>
        </w:rPr>
        <w:t xml:space="preserve"> </w:t>
      </w:r>
      <w:r>
        <w:rPr>
          <w:rFonts w:eastAsia="Times New Roman" w:cs="Arial"/>
        </w:rPr>
        <w:t>New York)2008</w:t>
      </w:r>
    </w:p>
  </w:footnote>
  <w:footnote w:id="60">
    <w:p w:rsidR="000239DD" w:rsidRDefault="000239DD">
      <w:pPr>
        <w:pStyle w:val="FootnoteText"/>
      </w:pPr>
      <w:r>
        <w:rPr>
          <w:rStyle w:val="FootnoteReference"/>
        </w:rPr>
        <w:footnoteRef/>
      </w:r>
      <w:r>
        <w:t xml:space="preserve"> PP145-163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Cross-road publishing company: New York)2008</w:t>
      </w:r>
    </w:p>
  </w:footnote>
  <w:footnote w:id="61">
    <w:p w:rsidR="000239DD" w:rsidRDefault="000239DD" w:rsidP="0020637A">
      <w:pPr>
        <w:pStyle w:val="FootnoteText"/>
      </w:pPr>
      <w:r>
        <w:rPr>
          <w:rStyle w:val="FootnoteReference"/>
        </w:rPr>
        <w:footnoteRef/>
      </w:r>
      <w:r>
        <w:t xml:space="preserve"> P11 </w:t>
      </w:r>
      <w:r w:rsidRPr="008C5EEB">
        <w:rPr>
          <w:i/>
        </w:rPr>
        <w:t>Generous Love</w:t>
      </w:r>
      <w:r>
        <w:rPr>
          <w:i/>
        </w:rPr>
        <w:t xml:space="preserve"> </w:t>
      </w:r>
      <w:r>
        <w:t xml:space="preserve"> A report from the Anglican Communion Network for Inter Faith Concerns. (Anglican Consultative Council:London) 2008</w:t>
      </w:r>
    </w:p>
  </w:footnote>
  <w:footnote w:id="62">
    <w:p w:rsidR="000239DD" w:rsidRDefault="000239DD" w:rsidP="00493132">
      <w:pPr>
        <w:pStyle w:val="NormalWeb"/>
        <w:spacing w:before="0" w:beforeAutospacing="0" w:after="0" w:afterAutospacing="0"/>
      </w:pPr>
      <w:r w:rsidRPr="00493132">
        <w:rPr>
          <w:rStyle w:val="FootnoteReference"/>
          <w:rFonts w:asciiTheme="minorHAnsi" w:hAnsiTheme="minorHAnsi"/>
          <w:sz w:val="18"/>
          <w:szCs w:val="18"/>
        </w:rPr>
        <w:footnoteRef/>
      </w:r>
      <w:r>
        <w:t xml:space="preserve"> </w:t>
      </w:r>
      <w:r w:rsidRPr="00D05EA3">
        <w:rPr>
          <w:rFonts w:asciiTheme="minorHAnsi" w:hAnsiTheme="minorHAnsi"/>
          <w:sz w:val="20"/>
          <w:szCs w:val="20"/>
        </w:rPr>
        <w:t xml:space="preserve">P43 Brown R. </w:t>
      </w:r>
      <w:r w:rsidRPr="00D05EA3">
        <w:rPr>
          <w:rFonts w:asciiTheme="minorHAnsi" w:hAnsiTheme="minorHAnsi"/>
          <w:i/>
          <w:sz w:val="20"/>
          <w:szCs w:val="20"/>
        </w:rPr>
        <w:t>Being a Deacon Today</w:t>
      </w:r>
      <w:r w:rsidRPr="00D05EA3">
        <w:rPr>
          <w:rFonts w:asciiTheme="minorHAnsi" w:hAnsiTheme="minorHAnsi"/>
          <w:sz w:val="20"/>
          <w:szCs w:val="20"/>
        </w:rPr>
        <w:t xml:space="preserve"> </w:t>
      </w:r>
      <w:r w:rsidRPr="00D05EA3">
        <w:rPr>
          <w:rFonts w:asciiTheme="minorHAnsi" w:hAnsiTheme="minorHAnsi"/>
          <w:bCs/>
          <w:i/>
          <w:iCs/>
          <w:sz w:val="20"/>
          <w:szCs w:val="20"/>
        </w:rPr>
        <w:t>: exploring a distinctive ministry in the church and in the world</w:t>
      </w:r>
      <w:r w:rsidRPr="00D05EA3">
        <w:rPr>
          <w:rFonts w:asciiTheme="minorHAnsi" w:hAnsiTheme="minorHAnsi"/>
          <w:sz w:val="20"/>
          <w:szCs w:val="20"/>
        </w:rPr>
        <w:t xml:space="preserve"> (Canterbury Press, 2005)</w:t>
      </w:r>
      <w:r>
        <w:rPr>
          <w:rFonts w:asciiTheme="minorHAnsi" w:hAnsiTheme="minorHAnsi"/>
          <w:sz w:val="20"/>
          <w:szCs w:val="20"/>
        </w:rPr>
        <w:t xml:space="preserve"> “</w:t>
      </w:r>
      <w:r w:rsidRPr="00D05EA3">
        <w:rPr>
          <w:rFonts w:asciiTheme="minorHAnsi" w:hAnsiTheme="minorHAnsi"/>
          <w:sz w:val="20"/>
          <w:szCs w:val="20"/>
        </w:rPr>
        <w:t>Deacons are there to make sure that the many surprising ways to the Church are kept open and people are encouraged to take them... Deacons should be found on the church doorstep on Sunday mornings, welcoming both regular worshippers and visitors</w:t>
      </w:r>
      <w:r>
        <w:rPr>
          <w:rFonts w:asciiTheme="minorHAnsi" w:hAnsiTheme="minorHAnsi"/>
          <w:sz w:val="20"/>
          <w:szCs w:val="20"/>
        </w:rPr>
        <w:t>.”</w:t>
      </w:r>
    </w:p>
  </w:footnote>
  <w:footnote w:id="63">
    <w:p w:rsidR="000239DD" w:rsidRDefault="000239DD" w:rsidP="00493132">
      <w:pPr>
        <w:spacing w:after="0"/>
      </w:pPr>
      <w:r>
        <w:rPr>
          <w:rStyle w:val="FootnoteReference"/>
        </w:rPr>
        <w:footnoteRef/>
      </w:r>
      <w:r>
        <w:t xml:space="preserve"> </w:t>
      </w:r>
      <w:hyperlink r:id="rId14" w:history="1">
        <w:r w:rsidRPr="00B80DE0">
          <w:rPr>
            <w:rStyle w:val="Hyperlink"/>
          </w:rPr>
          <w:t>http://www.sheffield.anglican.org/UserFiles/File/Training/distinctive_deacon.pdf</w:t>
        </w:r>
      </w:hyperlink>
      <w:r>
        <w:t xml:space="preserve"> Accessed 11th June 2015</w:t>
      </w:r>
    </w:p>
  </w:footnote>
  <w:footnote w:id="64">
    <w:p w:rsidR="000239DD" w:rsidRDefault="000239DD">
      <w:pPr>
        <w:pStyle w:val="FootnoteText"/>
      </w:pPr>
      <w:r>
        <w:rPr>
          <w:rStyle w:val="FootnoteReference"/>
        </w:rPr>
        <w:footnoteRef/>
      </w:r>
      <w:r>
        <w:t xml:space="preserve"> P177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Cross-road publishing company:New York)2008</w:t>
      </w:r>
    </w:p>
  </w:footnote>
  <w:footnote w:id="65">
    <w:p w:rsidR="000239DD" w:rsidRDefault="000239DD">
      <w:pPr>
        <w:pStyle w:val="FootnoteText"/>
      </w:pPr>
      <w:r>
        <w:rPr>
          <w:rStyle w:val="FootnoteReference"/>
        </w:rPr>
        <w:footnoteRef/>
      </w:r>
      <w:r>
        <w:t xml:space="preserve"> P210 Corneille C. </w:t>
      </w:r>
      <w:r w:rsidRPr="007A355E">
        <w:rPr>
          <w:rFonts w:eastAsia="Times New Roman" w:cs="Arial"/>
          <w:i/>
        </w:rPr>
        <w:t>the im-possibility of interreligious dialogue</w:t>
      </w:r>
      <w:r w:rsidRPr="007A355E">
        <w:rPr>
          <w:rFonts w:eastAsia="Times New Roman" w:cs="Arial"/>
        </w:rPr>
        <w:t xml:space="preserve"> (</w:t>
      </w:r>
      <w:r>
        <w:rPr>
          <w:rFonts w:eastAsia="Times New Roman" w:cs="Arial"/>
        </w:rPr>
        <w:t>Cross-road publishing company:New York)2008</w:t>
      </w:r>
    </w:p>
  </w:footnote>
  <w:footnote w:id="66">
    <w:p w:rsidR="000239DD" w:rsidRDefault="000239DD">
      <w:pPr>
        <w:pStyle w:val="FootnoteText"/>
      </w:pPr>
      <w:r>
        <w:rPr>
          <w:rStyle w:val="FootnoteReference"/>
        </w:rPr>
        <w:footnoteRef/>
      </w:r>
      <w:r>
        <w:t xml:space="preserve"> P13 </w:t>
      </w:r>
      <w:r w:rsidRPr="008C5EEB">
        <w:rPr>
          <w:i/>
        </w:rPr>
        <w:t>Generous Love</w:t>
      </w:r>
      <w:r>
        <w:rPr>
          <w:i/>
        </w:rPr>
        <w:t xml:space="preserve"> </w:t>
      </w:r>
      <w:r>
        <w:t xml:space="preserve"> A report from the Anglican Communion Network for Inter Faith Concerns. (Anglican Consultative Council: London) 2008</w:t>
      </w:r>
    </w:p>
  </w:footnote>
  <w:footnote w:id="67">
    <w:p w:rsidR="000239DD" w:rsidRDefault="000239DD">
      <w:pPr>
        <w:pStyle w:val="FootnoteText"/>
      </w:pPr>
      <w:r>
        <w:rPr>
          <w:rStyle w:val="FootnoteReference"/>
        </w:rPr>
        <w:footnoteRef/>
      </w:r>
      <w:r>
        <w:t xml:space="preserve"> Ibid</w:t>
      </w:r>
    </w:p>
  </w:footnote>
  <w:footnote w:id="68">
    <w:p w:rsidR="000239DD" w:rsidRPr="00D847B0" w:rsidRDefault="000239DD">
      <w:pPr>
        <w:pStyle w:val="FootnoteText"/>
      </w:pPr>
      <w:r w:rsidRPr="00D847B0">
        <w:rPr>
          <w:rStyle w:val="FootnoteReference"/>
        </w:rPr>
        <w:footnoteRef/>
      </w:r>
      <w:r w:rsidRPr="00D847B0">
        <w:t xml:space="preserve"> P260 Ward G. </w:t>
      </w:r>
      <w:r w:rsidRPr="00D847B0">
        <w:rPr>
          <w:i/>
        </w:rPr>
        <w:t xml:space="preserve">The Politics of Discipleship </w:t>
      </w:r>
      <w:r w:rsidRPr="00D847B0">
        <w:t>(Baker Academic: London) 2009</w:t>
      </w:r>
    </w:p>
  </w:footnote>
  <w:footnote w:id="69">
    <w:p w:rsidR="000239DD" w:rsidRPr="00D847B0" w:rsidRDefault="000239DD" w:rsidP="00E634A3">
      <w:pPr>
        <w:rPr>
          <w:sz w:val="20"/>
          <w:szCs w:val="20"/>
        </w:rPr>
      </w:pPr>
      <w:r w:rsidRPr="00D847B0">
        <w:rPr>
          <w:rStyle w:val="FootnoteReference"/>
          <w:sz w:val="20"/>
          <w:szCs w:val="20"/>
        </w:rPr>
        <w:footnoteRef/>
      </w:r>
      <w:r w:rsidRPr="00D847B0">
        <w:rPr>
          <w:sz w:val="20"/>
          <w:szCs w:val="20"/>
        </w:rPr>
        <w:t xml:space="preserve"> P138 Collins J. </w:t>
      </w:r>
      <w:r w:rsidRPr="00D847B0">
        <w:rPr>
          <w:i/>
          <w:sz w:val="20"/>
          <w:szCs w:val="20"/>
        </w:rPr>
        <w:t>Deacons and the Church</w:t>
      </w:r>
      <w:r w:rsidRPr="00D847B0">
        <w:rPr>
          <w:sz w:val="20"/>
          <w:szCs w:val="20"/>
        </w:rPr>
        <w:t xml:space="preserve"> (Gracewing: Herefordshire)2002</w:t>
      </w:r>
    </w:p>
    <w:p w:rsidR="000239DD" w:rsidRDefault="000239DD">
      <w:pPr>
        <w:pStyle w:val="FootnoteText"/>
      </w:pPr>
    </w:p>
  </w:footnote>
  <w:footnote w:id="70">
    <w:p w:rsidR="000239DD" w:rsidRDefault="000239DD">
      <w:pPr>
        <w:pStyle w:val="FootnoteText"/>
      </w:pPr>
      <w:r>
        <w:rPr>
          <w:rStyle w:val="FootnoteReference"/>
        </w:rPr>
        <w:footnoteRef/>
      </w:r>
      <w:r>
        <w:t xml:space="preserve"> P. 78 Sudworth R. </w:t>
      </w:r>
      <w:r w:rsidRPr="002845B1">
        <w:rPr>
          <w:i/>
        </w:rPr>
        <w:t>Hospitality and Embassy: The Persistent Influence of Kenneth Cragg on Anglican Theologies of Interfaith Relations</w:t>
      </w:r>
      <w:r>
        <w:t>. Anglican Theological Review Volume 96 Number 1 Winter 2014</w:t>
      </w:r>
    </w:p>
  </w:footnote>
  <w:footnote w:id="71">
    <w:p w:rsidR="000239DD" w:rsidRDefault="000239DD">
      <w:pPr>
        <w:pStyle w:val="FootnoteText"/>
      </w:pPr>
      <w:r>
        <w:rPr>
          <w:rStyle w:val="FootnoteReference"/>
        </w:rPr>
        <w:footnoteRef/>
      </w:r>
      <w:r>
        <w:t xml:space="preserve"> Pp 79-80. Ibid.</w:t>
      </w:r>
    </w:p>
  </w:footnote>
  <w:footnote w:id="72">
    <w:p w:rsidR="000239DD" w:rsidRDefault="000239DD">
      <w:pPr>
        <w:pStyle w:val="FootnoteText"/>
      </w:pPr>
      <w:r>
        <w:rPr>
          <w:rStyle w:val="FootnoteReference"/>
        </w:rPr>
        <w:footnoteRef/>
      </w:r>
      <w:r>
        <w:t xml:space="preserve"> P81 Ibid</w:t>
      </w:r>
    </w:p>
  </w:footnote>
  <w:footnote w:id="73">
    <w:p w:rsidR="000239DD" w:rsidRDefault="000239DD">
      <w:pPr>
        <w:pStyle w:val="FootnoteText"/>
      </w:pPr>
      <w:r>
        <w:rPr>
          <w:rStyle w:val="FootnoteReference"/>
        </w:rPr>
        <w:footnoteRef/>
      </w:r>
      <w:r>
        <w:t xml:space="preserve"> P85 Ibid</w:t>
      </w:r>
    </w:p>
  </w:footnote>
  <w:footnote w:id="74">
    <w:p w:rsidR="000239DD" w:rsidRDefault="000239DD">
      <w:pPr>
        <w:pStyle w:val="FootnoteText"/>
      </w:pPr>
      <w:r>
        <w:rPr>
          <w:rStyle w:val="FootnoteReference"/>
        </w:rPr>
        <w:footnoteRef/>
      </w:r>
      <w:r>
        <w:t xml:space="preserve"> P138 Collins J. </w:t>
      </w:r>
      <w:r w:rsidRPr="00E634A3">
        <w:rPr>
          <w:i/>
        </w:rPr>
        <w:t>Deacons and the Church</w:t>
      </w:r>
      <w:r>
        <w:t xml:space="preserve"> (Gracewing: Herefordshire)2002</w:t>
      </w:r>
    </w:p>
  </w:footnote>
  <w:footnote w:id="75">
    <w:p w:rsidR="000239DD" w:rsidRDefault="000239DD">
      <w:pPr>
        <w:pStyle w:val="FootnoteText"/>
      </w:pPr>
      <w:r>
        <w:rPr>
          <w:rStyle w:val="FootnoteReference"/>
        </w:rPr>
        <w:footnoteRef/>
      </w:r>
      <w:r>
        <w:t xml:space="preserve"> P294 Nordstokke K. </w:t>
      </w:r>
      <w:r w:rsidRPr="001B7AAA">
        <w:rPr>
          <w:i/>
        </w:rPr>
        <w:t xml:space="preserve">Diakonia and diaconate in the World Council of Churches </w:t>
      </w:r>
      <w:r>
        <w:t xml:space="preserve">in </w:t>
      </w:r>
      <w:r w:rsidRPr="00950B37">
        <w:rPr>
          <w:i/>
        </w:rPr>
        <w:t>International Journal for the Study of the Christian Church Volume</w:t>
      </w:r>
      <w:r>
        <w:t xml:space="preserve"> 13 Number 4 2013.</w:t>
      </w:r>
    </w:p>
  </w:footnote>
  <w:footnote w:id="76">
    <w:p w:rsidR="000239DD" w:rsidRDefault="000239DD">
      <w:pPr>
        <w:pStyle w:val="FootnoteText"/>
      </w:pPr>
      <w:r>
        <w:rPr>
          <w:rStyle w:val="FootnoteReference"/>
        </w:rPr>
        <w:footnoteRef/>
      </w:r>
      <w:r>
        <w:t xml:space="preserve"> </w:t>
      </w:r>
      <w:hyperlink r:id="rId15" w:history="1">
        <w:r w:rsidRPr="00763BB7">
          <w:rPr>
            <w:rStyle w:val="Hyperlink"/>
          </w:rPr>
          <w:t>https://www.churchofengland.org/reform-renewal.aspx</w:t>
        </w:r>
      </w:hyperlink>
      <w:r>
        <w:t xml:space="preserve"> Accessed 10th July 2015</w:t>
      </w:r>
    </w:p>
  </w:footnote>
  <w:footnote w:id="77">
    <w:p w:rsidR="000239DD" w:rsidRPr="00D847B0" w:rsidRDefault="000239DD">
      <w:pPr>
        <w:pStyle w:val="FootnoteText"/>
        <w:rPr>
          <w:i/>
        </w:rPr>
      </w:pPr>
      <w:r>
        <w:rPr>
          <w:rStyle w:val="FootnoteReference"/>
        </w:rPr>
        <w:footnoteRef/>
      </w:r>
      <w:r>
        <w:t xml:space="preserve"> P25 </w:t>
      </w:r>
      <w:r w:rsidRPr="00D847B0">
        <w:rPr>
          <w:i/>
        </w:rPr>
        <w:t>Faithful Cities  Report from the Commission on Urban Life and Faith CHP and Methodist Publishing House, Peterborough. 2006</w:t>
      </w:r>
    </w:p>
  </w:footnote>
  <w:footnote w:id="78">
    <w:p w:rsidR="000239DD" w:rsidRPr="008E4156" w:rsidRDefault="000239DD">
      <w:pPr>
        <w:pStyle w:val="FootnoteText"/>
      </w:pPr>
      <w:r>
        <w:rPr>
          <w:rStyle w:val="FootnoteReference"/>
        </w:rPr>
        <w:footnoteRef/>
      </w:r>
      <w:r>
        <w:t xml:space="preserve"> P 159 Hannaford R. </w:t>
      </w:r>
      <w:r w:rsidRPr="009554E8">
        <w:rPr>
          <w:i/>
        </w:rPr>
        <w:t xml:space="preserve"> Towards a Theology of the Diaconate </w:t>
      </w:r>
      <w:r>
        <w:t xml:space="preserve">in ed. Chrisine Hall </w:t>
      </w:r>
      <w:r w:rsidRPr="009554E8">
        <w:rPr>
          <w:i/>
        </w:rPr>
        <w:t>The Deacon’s Ministry.</w:t>
      </w:r>
      <w:r>
        <w:t xml:space="preserve"> (Gracewing: Leominster) 1991</w:t>
      </w:r>
    </w:p>
  </w:footnote>
  <w:footnote w:id="79">
    <w:p w:rsidR="000239DD" w:rsidRDefault="000239DD">
      <w:pPr>
        <w:pStyle w:val="FootnoteText"/>
      </w:pPr>
      <w:r>
        <w:rPr>
          <w:rStyle w:val="FootnoteReference"/>
        </w:rPr>
        <w:footnoteRef/>
      </w:r>
      <w:r>
        <w:t xml:space="preserve"> P61 Morisy A. </w:t>
      </w:r>
      <w:r w:rsidRPr="008E4156">
        <w:rPr>
          <w:i/>
        </w:rPr>
        <w:t>Journeying Out</w:t>
      </w:r>
      <w:r>
        <w:t xml:space="preserve"> (Continuum:London) 2004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B304F"/>
    <w:multiLevelType w:val="hybridMultilevel"/>
    <w:tmpl w:val="F4C61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5768CB"/>
    <w:multiLevelType w:val="hybridMultilevel"/>
    <w:tmpl w:val="E092C6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EB0ED3"/>
    <w:multiLevelType w:val="hybridMultilevel"/>
    <w:tmpl w:val="27C043F6"/>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EC242A"/>
    <w:multiLevelType w:val="hybridMultilevel"/>
    <w:tmpl w:val="2466CB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5BE5D6D"/>
    <w:multiLevelType w:val="hybridMultilevel"/>
    <w:tmpl w:val="06D2FB2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57871F26"/>
    <w:multiLevelType w:val="hybridMultilevel"/>
    <w:tmpl w:val="5CBCF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7E6FD7"/>
    <w:multiLevelType w:val="hybridMultilevel"/>
    <w:tmpl w:val="91CCA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8C6937"/>
    <w:multiLevelType w:val="hybridMultilevel"/>
    <w:tmpl w:val="AE42A498"/>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abstractNum w:abstractNumId="8" w15:restartNumberingAfterBreak="0">
    <w:nsid w:val="70EB3ACE"/>
    <w:multiLevelType w:val="hybridMultilevel"/>
    <w:tmpl w:val="86329144"/>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9" w15:restartNumberingAfterBreak="0">
    <w:nsid w:val="71CE42AB"/>
    <w:multiLevelType w:val="hybridMultilevel"/>
    <w:tmpl w:val="D28855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4035F80"/>
    <w:multiLevelType w:val="hybridMultilevel"/>
    <w:tmpl w:val="13ECB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0E584F"/>
    <w:multiLevelType w:val="hybridMultilevel"/>
    <w:tmpl w:val="DDEC695A"/>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93776EE"/>
    <w:multiLevelType w:val="hybridMultilevel"/>
    <w:tmpl w:val="B31A7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12"/>
  </w:num>
  <w:num w:numId="4">
    <w:abstractNumId w:val="0"/>
  </w:num>
  <w:num w:numId="5">
    <w:abstractNumId w:val="4"/>
  </w:num>
  <w:num w:numId="6">
    <w:abstractNumId w:val="6"/>
  </w:num>
  <w:num w:numId="7">
    <w:abstractNumId w:val="1"/>
  </w:num>
  <w:num w:numId="8">
    <w:abstractNumId w:val="8"/>
  </w:num>
  <w:num w:numId="9">
    <w:abstractNumId w:val="9"/>
  </w:num>
  <w:num w:numId="10">
    <w:abstractNumId w:val="3"/>
  </w:num>
  <w:num w:numId="11">
    <w:abstractNumId w:val="2"/>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BD8"/>
    <w:rsid w:val="0000127A"/>
    <w:rsid w:val="00011083"/>
    <w:rsid w:val="000163FB"/>
    <w:rsid w:val="00020ECF"/>
    <w:rsid w:val="000239DD"/>
    <w:rsid w:val="00033299"/>
    <w:rsid w:val="00036175"/>
    <w:rsid w:val="00071BF5"/>
    <w:rsid w:val="00072A20"/>
    <w:rsid w:val="00072FE9"/>
    <w:rsid w:val="000809A8"/>
    <w:rsid w:val="000A75FC"/>
    <w:rsid w:val="000C5C2F"/>
    <w:rsid w:val="000D53B7"/>
    <w:rsid w:val="000E52E0"/>
    <w:rsid w:val="00110030"/>
    <w:rsid w:val="00113478"/>
    <w:rsid w:val="0011352C"/>
    <w:rsid w:val="00114A96"/>
    <w:rsid w:val="00126A2D"/>
    <w:rsid w:val="0013195F"/>
    <w:rsid w:val="00131E25"/>
    <w:rsid w:val="001360BA"/>
    <w:rsid w:val="00140693"/>
    <w:rsid w:val="00165421"/>
    <w:rsid w:val="00175CF1"/>
    <w:rsid w:val="001A0AA3"/>
    <w:rsid w:val="001B7AAA"/>
    <w:rsid w:val="001E3C27"/>
    <w:rsid w:val="001F3A79"/>
    <w:rsid w:val="00203435"/>
    <w:rsid w:val="00205307"/>
    <w:rsid w:val="00205BD6"/>
    <w:rsid w:val="0020637A"/>
    <w:rsid w:val="00216D91"/>
    <w:rsid w:val="0022302B"/>
    <w:rsid w:val="00226AB5"/>
    <w:rsid w:val="00273A21"/>
    <w:rsid w:val="00280CA6"/>
    <w:rsid w:val="002845B1"/>
    <w:rsid w:val="0029657C"/>
    <w:rsid w:val="002B3861"/>
    <w:rsid w:val="002C0656"/>
    <w:rsid w:val="002C1EB3"/>
    <w:rsid w:val="002D1CE7"/>
    <w:rsid w:val="002E677D"/>
    <w:rsid w:val="002F634F"/>
    <w:rsid w:val="00304FDC"/>
    <w:rsid w:val="003133E3"/>
    <w:rsid w:val="0032719B"/>
    <w:rsid w:val="003344DA"/>
    <w:rsid w:val="00387BDD"/>
    <w:rsid w:val="00391027"/>
    <w:rsid w:val="00396827"/>
    <w:rsid w:val="00397FF7"/>
    <w:rsid w:val="003A1DA9"/>
    <w:rsid w:val="003B0E80"/>
    <w:rsid w:val="003C5240"/>
    <w:rsid w:val="003E505C"/>
    <w:rsid w:val="0041721D"/>
    <w:rsid w:val="00457034"/>
    <w:rsid w:val="004724ED"/>
    <w:rsid w:val="00480BA0"/>
    <w:rsid w:val="0049017B"/>
    <w:rsid w:val="00493132"/>
    <w:rsid w:val="004C4F4E"/>
    <w:rsid w:val="004D7F53"/>
    <w:rsid w:val="004F0470"/>
    <w:rsid w:val="005066CD"/>
    <w:rsid w:val="00535526"/>
    <w:rsid w:val="00592DD0"/>
    <w:rsid w:val="005966B5"/>
    <w:rsid w:val="005A05BB"/>
    <w:rsid w:val="005C0C92"/>
    <w:rsid w:val="005C2127"/>
    <w:rsid w:val="005C2DB3"/>
    <w:rsid w:val="005D1DAC"/>
    <w:rsid w:val="005D3386"/>
    <w:rsid w:val="005F3EA5"/>
    <w:rsid w:val="005F79E6"/>
    <w:rsid w:val="00612D5E"/>
    <w:rsid w:val="00613394"/>
    <w:rsid w:val="00625D29"/>
    <w:rsid w:val="006356B1"/>
    <w:rsid w:val="00635FB9"/>
    <w:rsid w:val="00641585"/>
    <w:rsid w:val="00653DAC"/>
    <w:rsid w:val="00655A8F"/>
    <w:rsid w:val="006731B4"/>
    <w:rsid w:val="006773E4"/>
    <w:rsid w:val="00690BA9"/>
    <w:rsid w:val="0069642B"/>
    <w:rsid w:val="0069657D"/>
    <w:rsid w:val="006C1012"/>
    <w:rsid w:val="006C5E00"/>
    <w:rsid w:val="006D6602"/>
    <w:rsid w:val="006E37B0"/>
    <w:rsid w:val="006E4E94"/>
    <w:rsid w:val="006E7681"/>
    <w:rsid w:val="006F7B6A"/>
    <w:rsid w:val="00700E41"/>
    <w:rsid w:val="00716A4B"/>
    <w:rsid w:val="00723578"/>
    <w:rsid w:val="00724375"/>
    <w:rsid w:val="00740E92"/>
    <w:rsid w:val="00753A85"/>
    <w:rsid w:val="00753B9B"/>
    <w:rsid w:val="00761DAF"/>
    <w:rsid w:val="00794186"/>
    <w:rsid w:val="007944DC"/>
    <w:rsid w:val="007A355E"/>
    <w:rsid w:val="007C407E"/>
    <w:rsid w:val="007D2DB1"/>
    <w:rsid w:val="007F4264"/>
    <w:rsid w:val="007F4866"/>
    <w:rsid w:val="008063B4"/>
    <w:rsid w:val="00806F13"/>
    <w:rsid w:val="008113E9"/>
    <w:rsid w:val="008147AA"/>
    <w:rsid w:val="008226D6"/>
    <w:rsid w:val="00832457"/>
    <w:rsid w:val="00863105"/>
    <w:rsid w:val="008649D8"/>
    <w:rsid w:val="00867922"/>
    <w:rsid w:val="00874C24"/>
    <w:rsid w:val="00892C29"/>
    <w:rsid w:val="008A7E95"/>
    <w:rsid w:val="008B4BD4"/>
    <w:rsid w:val="008C5EEB"/>
    <w:rsid w:val="008E4156"/>
    <w:rsid w:val="008F730F"/>
    <w:rsid w:val="00900834"/>
    <w:rsid w:val="009071A8"/>
    <w:rsid w:val="00910007"/>
    <w:rsid w:val="00927585"/>
    <w:rsid w:val="0093201E"/>
    <w:rsid w:val="00932258"/>
    <w:rsid w:val="00936180"/>
    <w:rsid w:val="00937837"/>
    <w:rsid w:val="009412FF"/>
    <w:rsid w:val="009462FE"/>
    <w:rsid w:val="00950B37"/>
    <w:rsid w:val="009554E8"/>
    <w:rsid w:val="00960919"/>
    <w:rsid w:val="00992FCB"/>
    <w:rsid w:val="009B47D4"/>
    <w:rsid w:val="009B7A5D"/>
    <w:rsid w:val="009C0BC1"/>
    <w:rsid w:val="009C1998"/>
    <w:rsid w:val="009C1C1E"/>
    <w:rsid w:val="009D19C1"/>
    <w:rsid w:val="009E6A9C"/>
    <w:rsid w:val="009E75E9"/>
    <w:rsid w:val="00A015CB"/>
    <w:rsid w:val="00A02E85"/>
    <w:rsid w:val="00A03080"/>
    <w:rsid w:val="00A13BED"/>
    <w:rsid w:val="00A16255"/>
    <w:rsid w:val="00A268EF"/>
    <w:rsid w:val="00A32E4E"/>
    <w:rsid w:val="00A346D0"/>
    <w:rsid w:val="00A42548"/>
    <w:rsid w:val="00A6277C"/>
    <w:rsid w:val="00A83E08"/>
    <w:rsid w:val="00A92E66"/>
    <w:rsid w:val="00AA2B46"/>
    <w:rsid w:val="00B1122C"/>
    <w:rsid w:val="00B120C0"/>
    <w:rsid w:val="00B212C8"/>
    <w:rsid w:val="00B26A2A"/>
    <w:rsid w:val="00B32323"/>
    <w:rsid w:val="00B3579C"/>
    <w:rsid w:val="00B3748D"/>
    <w:rsid w:val="00B47E7C"/>
    <w:rsid w:val="00B52DFF"/>
    <w:rsid w:val="00B61224"/>
    <w:rsid w:val="00BB4676"/>
    <w:rsid w:val="00BB6E44"/>
    <w:rsid w:val="00BC2BC0"/>
    <w:rsid w:val="00BC36BC"/>
    <w:rsid w:val="00BC3735"/>
    <w:rsid w:val="00BD5F56"/>
    <w:rsid w:val="00BE2E5C"/>
    <w:rsid w:val="00BE5AAC"/>
    <w:rsid w:val="00BE69E5"/>
    <w:rsid w:val="00C35C5C"/>
    <w:rsid w:val="00C54E14"/>
    <w:rsid w:val="00C56756"/>
    <w:rsid w:val="00CB1679"/>
    <w:rsid w:val="00CB226E"/>
    <w:rsid w:val="00CB7406"/>
    <w:rsid w:val="00CC244F"/>
    <w:rsid w:val="00CC4231"/>
    <w:rsid w:val="00CC4612"/>
    <w:rsid w:val="00D05EA3"/>
    <w:rsid w:val="00D53608"/>
    <w:rsid w:val="00D56EDC"/>
    <w:rsid w:val="00D70DFC"/>
    <w:rsid w:val="00D83547"/>
    <w:rsid w:val="00D847B0"/>
    <w:rsid w:val="00D966D0"/>
    <w:rsid w:val="00DB5D5C"/>
    <w:rsid w:val="00DC3BD8"/>
    <w:rsid w:val="00DD3C0E"/>
    <w:rsid w:val="00DD7F93"/>
    <w:rsid w:val="00E10E33"/>
    <w:rsid w:val="00E3558C"/>
    <w:rsid w:val="00E57EC4"/>
    <w:rsid w:val="00E634A3"/>
    <w:rsid w:val="00E7114C"/>
    <w:rsid w:val="00E86E45"/>
    <w:rsid w:val="00E90F9F"/>
    <w:rsid w:val="00E94B6F"/>
    <w:rsid w:val="00EB4634"/>
    <w:rsid w:val="00EC23BF"/>
    <w:rsid w:val="00EC6403"/>
    <w:rsid w:val="00EC71A8"/>
    <w:rsid w:val="00ED105C"/>
    <w:rsid w:val="00EE4142"/>
    <w:rsid w:val="00EE4D15"/>
    <w:rsid w:val="00F31637"/>
    <w:rsid w:val="00F44537"/>
    <w:rsid w:val="00F504D4"/>
    <w:rsid w:val="00F54749"/>
    <w:rsid w:val="00F67750"/>
    <w:rsid w:val="00F749F1"/>
    <w:rsid w:val="00F80F81"/>
    <w:rsid w:val="00F950F4"/>
    <w:rsid w:val="00FB4E1F"/>
    <w:rsid w:val="00FD2553"/>
    <w:rsid w:val="00FD2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DCB0E6-3B7E-4D6F-ABC0-1B05E3C82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4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6122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6122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3BD8"/>
    <w:pPr>
      <w:ind w:left="720"/>
      <w:contextualSpacing/>
    </w:pPr>
  </w:style>
  <w:style w:type="paragraph" w:styleId="FootnoteText">
    <w:name w:val="footnote text"/>
    <w:basedOn w:val="Normal"/>
    <w:link w:val="FootnoteTextChar"/>
    <w:uiPriority w:val="99"/>
    <w:unhideWhenUsed/>
    <w:rsid w:val="00EB4634"/>
    <w:pPr>
      <w:spacing w:after="0" w:line="240" w:lineRule="auto"/>
    </w:pPr>
    <w:rPr>
      <w:sz w:val="20"/>
      <w:szCs w:val="20"/>
    </w:rPr>
  </w:style>
  <w:style w:type="character" w:customStyle="1" w:styleId="FootnoteTextChar">
    <w:name w:val="Footnote Text Char"/>
    <w:basedOn w:val="DefaultParagraphFont"/>
    <w:link w:val="FootnoteText"/>
    <w:uiPriority w:val="99"/>
    <w:rsid w:val="00EB4634"/>
    <w:rPr>
      <w:sz w:val="20"/>
      <w:szCs w:val="20"/>
    </w:rPr>
  </w:style>
  <w:style w:type="character" w:styleId="FootnoteReference">
    <w:name w:val="footnote reference"/>
    <w:basedOn w:val="DefaultParagraphFont"/>
    <w:uiPriority w:val="99"/>
    <w:semiHidden/>
    <w:unhideWhenUsed/>
    <w:rsid w:val="00EB4634"/>
    <w:rPr>
      <w:vertAlign w:val="superscript"/>
    </w:rPr>
  </w:style>
  <w:style w:type="character" w:styleId="Hyperlink">
    <w:name w:val="Hyperlink"/>
    <w:basedOn w:val="DefaultParagraphFont"/>
    <w:uiPriority w:val="99"/>
    <w:unhideWhenUsed/>
    <w:rsid w:val="001A0AA3"/>
    <w:rPr>
      <w:color w:val="0000FF" w:themeColor="hyperlink"/>
      <w:u w:val="single"/>
    </w:rPr>
  </w:style>
  <w:style w:type="paragraph" w:styleId="EndnoteText">
    <w:name w:val="endnote text"/>
    <w:basedOn w:val="Normal"/>
    <w:link w:val="EndnoteTextChar"/>
    <w:uiPriority w:val="99"/>
    <w:semiHidden/>
    <w:unhideWhenUsed/>
    <w:rsid w:val="00B3748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3748D"/>
    <w:rPr>
      <w:sz w:val="20"/>
      <w:szCs w:val="20"/>
    </w:rPr>
  </w:style>
  <w:style w:type="character" w:styleId="EndnoteReference">
    <w:name w:val="endnote reference"/>
    <w:basedOn w:val="DefaultParagraphFont"/>
    <w:uiPriority w:val="99"/>
    <w:semiHidden/>
    <w:unhideWhenUsed/>
    <w:rsid w:val="00B3748D"/>
    <w:rPr>
      <w:vertAlign w:val="superscript"/>
    </w:rPr>
  </w:style>
  <w:style w:type="table" w:styleId="TableGrid">
    <w:name w:val="Table Grid"/>
    <w:basedOn w:val="TableNormal"/>
    <w:uiPriority w:val="59"/>
    <w:rsid w:val="00391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2C065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C0656"/>
  </w:style>
  <w:style w:type="paragraph" w:styleId="Footer">
    <w:name w:val="footer"/>
    <w:basedOn w:val="Normal"/>
    <w:link w:val="FooterChar"/>
    <w:uiPriority w:val="99"/>
    <w:unhideWhenUsed/>
    <w:rsid w:val="002C06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0656"/>
  </w:style>
  <w:style w:type="character" w:customStyle="1" w:styleId="footnote-text">
    <w:name w:val="footnote-text"/>
    <w:basedOn w:val="DefaultParagraphFont"/>
    <w:rsid w:val="00DB5D5C"/>
  </w:style>
  <w:style w:type="paragraph" w:styleId="NormalWeb">
    <w:name w:val="Normal (Web)"/>
    <w:basedOn w:val="Normal"/>
    <w:uiPriority w:val="99"/>
    <w:unhideWhenUsed/>
    <w:rsid w:val="005C0C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normal">
    <w:name w:val="vlnormal"/>
    <w:basedOn w:val="Normal"/>
    <w:rsid w:val="00CB16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B47D4"/>
    <w:rPr>
      <w:i/>
      <w:iCs/>
    </w:rPr>
  </w:style>
  <w:style w:type="paragraph" w:styleId="BalloonText">
    <w:name w:val="Balloon Text"/>
    <w:basedOn w:val="Normal"/>
    <w:link w:val="BalloonTextChar"/>
    <w:uiPriority w:val="99"/>
    <w:semiHidden/>
    <w:unhideWhenUsed/>
    <w:rsid w:val="007A3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355E"/>
    <w:rPr>
      <w:rFonts w:ascii="Tahoma" w:hAnsi="Tahoma" w:cs="Tahoma"/>
      <w:sz w:val="16"/>
      <w:szCs w:val="16"/>
    </w:rPr>
  </w:style>
  <w:style w:type="paragraph" w:customStyle="1" w:styleId="Body">
    <w:name w:val="Body"/>
    <w:rsid w:val="00F950F4"/>
    <w:pPr>
      <w:spacing w:before="200"/>
    </w:pPr>
    <w:rPr>
      <w:rFonts w:hAnsi="Arial Unicode MS" w:cs="Arial Unicode MS"/>
      <w:color w:val="000000"/>
      <w:sz w:val="24"/>
      <w:szCs w:val="24"/>
      <w:u w:color="000000"/>
    </w:rPr>
  </w:style>
  <w:style w:type="paragraph" w:styleId="Title">
    <w:name w:val="Title"/>
    <w:basedOn w:val="Normal"/>
    <w:next w:val="Normal"/>
    <w:link w:val="TitleChar"/>
    <w:uiPriority w:val="10"/>
    <w:qFormat/>
    <w:rsid w:val="00F950F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F950F4"/>
    <w:rPr>
      <w:caps/>
      <w:color w:val="4F81BD" w:themeColor="accent1"/>
      <w:spacing w:val="10"/>
      <w:kern w:val="28"/>
      <w:sz w:val="52"/>
      <w:szCs w:val="52"/>
    </w:rPr>
  </w:style>
  <w:style w:type="paragraph" w:customStyle="1" w:styleId="Normal1">
    <w:name w:val="Normal1"/>
    <w:rsid w:val="00F950F4"/>
    <w:pPr>
      <w:spacing w:after="0"/>
    </w:pPr>
    <w:rPr>
      <w:rFonts w:ascii="Arial" w:eastAsia="Arial" w:hAnsi="Arial" w:cs="Arial"/>
      <w:color w:val="000000"/>
      <w:szCs w:val="20"/>
      <w:lang w:eastAsia="en-US"/>
    </w:rPr>
  </w:style>
  <w:style w:type="character" w:customStyle="1" w:styleId="Heading1Char">
    <w:name w:val="Heading 1 Char"/>
    <w:basedOn w:val="DefaultParagraphFont"/>
    <w:link w:val="Heading1"/>
    <w:uiPriority w:val="9"/>
    <w:rsid w:val="00CB7406"/>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B7406"/>
    <w:pPr>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outlineLvl w:val="9"/>
    </w:pPr>
    <w:rPr>
      <w:rFonts w:asciiTheme="minorHAnsi" w:eastAsiaTheme="minorEastAsia" w:hAnsiTheme="minorHAnsi" w:cstheme="minorBidi"/>
      <w:caps/>
      <w:color w:val="FFFFFF" w:themeColor="background1"/>
      <w:spacing w:val="15"/>
      <w:sz w:val="22"/>
      <w:szCs w:val="22"/>
      <w:lang w:bidi="en-US"/>
    </w:rPr>
  </w:style>
  <w:style w:type="paragraph" w:styleId="TOC1">
    <w:name w:val="toc 1"/>
    <w:basedOn w:val="Normal"/>
    <w:next w:val="Normal"/>
    <w:autoRedefine/>
    <w:uiPriority w:val="39"/>
    <w:unhideWhenUsed/>
    <w:qFormat/>
    <w:rsid w:val="00CB7406"/>
    <w:pPr>
      <w:spacing w:before="360" w:after="360"/>
    </w:pPr>
    <w:rPr>
      <w:b/>
      <w:bCs/>
      <w:i/>
      <w:iCs/>
      <w:caps/>
      <w:u w:val="single"/>
    </w:rPr>
  </w:style>
  <w:style w:type="paragraph" w:styleId="TOC2">
    <w:name w:val="toc 2"/>
    <w:basedOn w:val="Normal"/>
    <w:next w:val="Normal"/>
    <w:autoRedefine/>
    <w:uiPriority w:val="39"/>
    <w:unhideWhenUsed/>
    <w:qFormat/>
    <w:rsid w:val="00CB7406"/>
    <w:pPr>
      <w:spacing w:before="200" w:after="0"/>
    </w:pPr>
    <w:rPr>
      <w:b/>
      <w:bCs/>
      <w:i/>
      <w:iCs/>
      <w:smallCaps/>
    </w:rPr>
  </w:style>
  <w:style w:type="paragraph" w:styleId="TOC3">
    <w:name w:val="toc 3"/>
    <w:basedOn w:val="Normal"/>
    <w:next w:val="Normal"/>
    <w:autoRedefine/>
    <w:uiPriority w:val="39"/>
    <w:unhideWhenUsed/>
    <w:qFormat/>
    <w:rsid w:val="00CB7406"/>
    <w:pPr>
      <w:spacing w:before="200" w:after="0"/>
    </w:pPr>
    <w:rPr>
      <w:i/>
      <w:iCs/>
      <w:smallCaps/>
    </w:rPr>
  </w:style>
  <w:style w:type="character" w:customStyle="1" w:styleId="Heading2Char">
    <w:name w:val="Heading 2 Char"/>
    <w:basedOn w:val="DefaultParagraphFont"/>
    <w:link w:val="Heading2"/>
    <w:uiPriority w:val="9"/>
    <w:semiHidden/>
    <w:rsid w:val="00B6122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6122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889593">
      <w:bodyDiv w:val="1"/>
      <w:marLeft w:val="0"/>
      <w:marRight w:val="0"/>
      <w:marTop w:val="0"/>
      <w:marBottom w:val="0"/>
      <w:divBdr>
        <w:top w:val="none" w:sz="0" w:space="0" w:color="auto"/>
        <w:left w:val="none" w:sz="0" w:space="0" w:color="auto"/>
        <w:bottom w:val="none" w:sz="0" w:space="0" w:color="auto"/>
        <w:right w:val="none" w:sz="0" w:space="0" w:color="auto"/>
      </w:divBdr>
    </w:div>
    <w:div w:id="330959775">
      <w:bodyDiv w:val="1"/>
      <w:marLeft w:val="0"/>
      <w:marRight w:val="0"/>
      <w:marTop w:val="0"/>
      <w:marBottom w:val="0"/>
      <w:divBdr>
        <w:top w:val="none" w:sz="0" w:space="0" w:color="auto"/>
        <w:left w:val="none" w:sz="0" w:space="0" w:color="auto"/>
        <w:bottom w:val="none" w:sz="0" w:space="0" w:color="auto"/>
        <w:right w:val="none" w:sz="0" w:space="0" w:color="auto"/>
      </w:divBdr>
      <w:divsChild>
        <w:div w:id="1512447410">
          <w:marLeft w:val="0"/>
          <w:marRight w:val="0"/>
          <w:marTop w:val="0"/>
          <w:marBottom w:val="0"/>
          <w:divBdr>
            <w:top w:val="none" w:sz="0" w:space="0" w:color="auto"/>
            <w:left w:val="none" w:sz="0" w:space="0" w:color="auto"/>
            <w:bottom w:val="none" w:sz="0" w:space="0" w:color="auto"/>
            <w:right w:val="none" w:sz="0" w:space="0" w:color="auto"/>
          </w:divBdr>
        </w:div>
        <w:div w:id="859974314">
          <w:marLeft w:val="0"/>
          <w:marRight w:val="0"/>
          <w:marTop w:val="0"/>
          <w:marBottom w:val="0"/>
          <w:divBdr>
            <w:top w:val="none" w:sz="0" w:space="0" w:color="auto"/>
            <w:left w:val="none" w:sz="0" w:space="0" w:color="auto"/>
            <w:bottom w:val="none" w:sz="0" w:space="0" w:color="auto"/>
            <w:right w:val="none" w:sz="0" w:space="0" w:color="auto"/>
          </w:divBdr>
        </w:div>
        <w:div w:id="1501577311">
          <w:marLeft w:val="0"/>
          <w:marRight w:val="0"/>
          <w:marTop w:val="0"/>
          <w:marBottom w:val="0"/>
          <w:divBdr>
            <w:top w:val="none" w:sz="0" w:space="0" w:color="auto"/>
            <w:left w:val="none" w:sz="0" w:space="0" w:color="auto"/>
            <w:bottom w:val="none" w:sz="0" w:space="0" w:color="auto"/>
            <w:right w:val="none" w:sz="0" w:space="0" w:color="auto"/>
          </w:divBdr>
        </w:div>
        <w:div w:id="398862621">
          <w:marLeft w:val="0"/>
          <w:marRight w:val="0"/>
          <w:marTop w:val="0"/>
          <w:marBottom w:val="0"/>
          <w:divBdr>
            <w:top w:val="none" w:sz="0" w:space="0" w:color="auto"/>
            <w:left w:val="none" w:sz="0" w:space="0" w:color="auto"/>
            <w:bottom w:val="none" w:sz="0" w:space="0" w:color="auto"/>
            <w:right w:val="none" w:sz="0" w:space="0" w:color="auto"/>
          </w:divBdr>
        </w:div>
        <w:div w:id="1462531261">
          <w:marLeft w:val="0"/>
          <w:marRight w:val="0"/>
          <w:marTop w:val="0"/>
          <w:marBottom w:val="0"/>
          <w:divBdr>
            <w:top w:val="none" w:sz="0" w:space="0" w:color="auto"/>
            <w:left w:val="none" w:sz="0" w:space="0" w:color="auto"/>
            <w:bottom w:val="none" w:sz="0" w:space="0" w:color="auto"/>
            <w:right w:val="none" w:sz="0" w:space="0" w:color="auto"/>
          </w:divBdr>
        </w:div>
        <w:div w:id="494611585">
          <w:marLeft w:val="0"/>
          <w:marRight w:val="0"/>
          <w:marTop w:val="0"/>
          <w:marBottom w:val="0"/>
          <w:divBdr>
            <w:top w:val="none" w:sz="0" w:space="0" w:color="auto"/>
            <w:left w:val="none" w:sz="0" w:space="0" w:color="auto"/>
            <w:bottom w:val="none" w:sz="0" w:space="0" w:color="auto"/>
            <w:right w:val="none" w:sz="0" w:space="0" w:color="auto"/>
          </w:divBdr>
        </w:div>
        <w:div w:id="1427337650">
          <w:marLeft w:val="0"/>
          <w:marRight w:val="0"/>
          <w:marTop w:val="0"/>
          <w:marBottom w:val="0"/>
          <w:divBdr>
            <w:top w:val="none" w:sz="0" w:space="0" w:color="auto"/>
            <w:left w:val="none" w:sz="0" w:space="0" w:color="auto"/>
            <w:bottom w:val="none" w:sz="0" w:space="0" w:color="auto"/>
            <w:right w:val="none" w:sz="0" w:space="0" w:color="auto"/>
          </w:divBdr>
        </w:div>
        <w:div w:id="1639607672">
          <w:marLeft w:val="0"/>
          <w:marRight w:val="0"/>
          <w:marTop w:val="0"/>
          <w:marBottom w:val="0"/>
          <w:divBdr>
            <w:top w:val="none" w:sz="0" w:space="0" w:color="auto"/>
            <w:left w:val="none" w:sz="0" w:space="0" w:color="auto"/>
            <w:bottom w:val="none" w:sz="0" w:space="0" w:color="auto"/>
            <w:right w:val="none" w:sz="0" w:space="0" w:color="auto"/>
          </w:divBdr>
        </w:div>
        <w:div w:id="1297880152">
          <w:marLeft w:val="0"/>
          <w:marRight w:val="0"/>
          <w:marTop w:val="0"/>
          <w:marBottom w:val="0"/>
          <w:divBdr>
            <w:top w:val="none" w:sz="0" w:space="0" w:color="auto"/>
            <w:left w:val="none" w:sz="0" w:space="0" w:color="auto"/>
            <w:bottom w:val="none" w:sz="0" w:space="0" w:color="auto"/>
            <w:right w:val="none" w:sz="0" w:space="0" w:color="auto"/>
          </w:divBdr>
        </w:div>
      </w:divsChild>
    </w:div>
    <w:div w:id="480122073">
      <w:bodyDiv w:val="1"/>
      <w:marLeft w:val="0"/>
      <w:marRight w:val="0"/>
      <w:marTop w:val="0"/>
      <w:marBottom w:val="0"/>
      <w:divBdr>
        <w:top w:val="none" w:sz="0" w:space="0" w:color="auto"/>
        <w:left w:val="none" w:sz="0" w:space="0" w:color="auto"/>
        <w:bottom w:val="none" w:sz="0" w:space="0" w:color="auto"/>
        <w:right w:val="none" w:sz="0" w:space="0" w:color="auto"/>
      </w:divBdr>
    </w:div>
    <w:div w:id="672076413">
      <w:bodyDiv w:val="1"/>
      <w:marLeft w:val="0"/>
      <w:marRight w:val="0"/>
      <w:marTop w:val="0"/>
      <w:marBottom w:val="0"/>
      <w:divBdr>
        <w:top w:val="none" w:sz="0" w:space="0" w:color="auto"/>
        <w:left w:val="none" w:sz="0" w:space="0" w:color="auto"/>
        <w:bottom w:val="none" w:sz="0" w:space="0" w:color="auto"/>
        <w:right w:val="none" w:sz="0" w:space="0" w:color="auto"/>
      </w:divBdr>
    </w:div>
    <w:div w:id="1058238799">
      <w:bodyDiv w:val="1"/>
      <w:marLeft w:val="0"/>
      <w:marRight w:val="0"/>
      <w:marTop w:val="0"/>
      <w:marBottom w:val="0"/>
      <w:divBdr>
        <w:top w:val="none" w:sz="0" w:space="0" w:color="auto"/>
        <w:left w:val="none" w:sz="0" w:space="0" w:color="auto"/>
        <w:bottom w:val="none" w:sz="0" w:space="0" w:color="auto"/>
        <w:right w:val="none" w:sz="0" w:space="0" w:color="auto"/>
      </w:divBdr>
    </w:div>
    <w:div w:id="1363748360">
      <w:bodyDiv w:val="1"/>
      <w:marLeft w:val="0"/>
      <w:marRight w:val="0"/>
      <w:marTop w:val="0"/>
      <w:marBottom w:val="0"/>
      <w:divBdr>
        <w:top w:val="none" w:sz="0" w:space="0" w:color="auto"/>
        <w:left w:val="none" w:sz="0" w:space="0" w:color="auto"/>
        <w:bottom w:val="none" w:sz="0" w:space="0" w:color="auto"/>
        <w:right w:val="none" w:sz="0" w:space="0" w:color="auto"/>
      </w:divBdr>
    </w:div>
    <w:div w:id="1443526324">
      <w:bodyDiv w:val="1"/>
      <w:marLeft w:val="0"/>
      <w:marRight w:val="0"/>
      <w:marTop w:val="0"/>
      <w:marBottom w:val="0"/>
      <w:divBdr>
        <w:top w:val="none" w:sz="0" w:space="0" w:color="auto"/>
        <w:left w:val="none" w:sz="0" w:space="0" w:color="auto"/>
        <w:bottom w:val="none" w:sz="0" w:space="0" w:color="auto"/>
        <w:right w:val="none" w:sz="0" w:space="0" w:color="auto"/>
      </w:divBdr>
      <w:divsChild>
        <w:div w:id="1034886702">
          <w:marLeft w:val="0"/>
          <w:marRight w:val="0"/>
          <w:marTop w:val="0"/>
          <w:marBottom w:val="0"/>
          <w:divBdr>
            <w:top w:val="none" w:sz="0" w:space="0" w:color="auto"/>
            <w:left w:val="none" w:sz="0" w:space="0" w:color="auto"/>
            <w:bottom w:val="none" w:sz="0" w:space="0" w:color="auto"/>
            <w:right w:val="none" w:sz="0" w:space="0" w:color="auto"/>
          </w:divBdr>
        </w:div>
        <w:div w:id="1283614655">
          <w:marLeft w:val="0"/>
          <w:marRight w:val="0"/>
          <w:marTop w:val="0"/>
          <w:marBottom w:val="0"/>
          <w:divBdr>
            <w:top w:val="none" w:sz="0" w:space="0" w:color="auto"/>
            <w:left w:val="none" w:sz="0" w:space="0" w:color="auto"/>
            <w:bottom w:val="none" w:sz="0" w:space="0" w:color="auto"/>
            <w:right w:val="none" w:sz="0" w:space="0" w:color="auto"/>
          </w:divBdr>
        </w:div>
        <w:div w:id="638999740">
          <w:marLeft w:val="0"/>
          <w:marRight w:val="0"/>
          <w:marTop w:val="0"/>
          <w:marBottom w:val="0"/>
          <w:divBdr>
            <w:top w:val="none" w:sz="0" w:space="0" w:color="auto"/>
            <w:left w:val="none" w:sz="0" w:space="0" w:color="auto"/>
            <w:bottom w:val="none" w:sz="0" w:space="0" w:color="auto"/>
            <w:right w:val="none" w:sz="0" w:space="0" w:color="auto"/>
          </w:divBdr>
        </w:div>
        <w:div w:id="1062172105">
          <w:marLeft w:val="0"/>
          <w:marRight w:val="0"/>
          <w:marTop w:val="0"/>
          <w:marBottom w:val="0"/>
          <w:divBdr>
            <w:top w:val="none" w:sz="0" w:space="0" w:color="auto"/>
            <w:left w:val="none" w:sz="0" w:space="0" w:color="auto"/>
            <w:bottom w:val="none" w:sz="0" w:space="0" w:color="auto"/>
            <w:right w:val="none" w:sz="0" w:space="0" w:color="auto"/>
          </w:divBdr>
        </w:div>
        <w:div w:id="1556618154">
          <w:marLeft w:val="0"/>
          <w:marRight w:val="0"/>
          <w:marTop w:val="0"/>
          <w:marBottom w:val="0"/>
          <w:divBdr>
            <w:top w:val="none" w:sz="0" w:space="0" w:color="auto"/>
            <w:left w:val="none" w:sz="0" w:space="0" w:color="auto"/>
            <w:bottom w:val="none" w:sz="0" w:space="0" w:color="auto"/>
            <w:right w:val="none" w:sz="0" w:space="0" w:color="auto"/>
          </w:divBdr>
        </w:div>
        <w:div w:id="1362827528">
          <w:marLeft w:val="0"/>
          <w:marRight w:val="0"/>
          <w:marTop w:val="0"/>
          <w:marBottom w:val="0"/>
          <w:divBdr>
            <w:top w:val="none" w:sz="0" w:space="0" w:color="auto"/>
            <w:left w:val="none" w:sz="0" w:space="0" w:color="auto"/>
            <w:bottom w:val="none" w:sz="0" w:space="0" w:color="auto"/>
            <w:right w:val="none" w:sz="0" w:space="0" w:color="auto"/>
          </w:divBdr>
        </w:div>
        <w:div w:id="1327201308">
          <w:marLeft w:val="0"/>
          <w:marRight w:val="0"/>
          <w:marTop w:val="0"/>
          <w:marBottom w:val="0"/>
          <w:divBdr>
            <w:top w:val="none" w:sz="0" w:space="0" w:color="auto"/>
            <w:left w:val="none" w:sz="0" w:space="0" w:color="auto"/>
            <w:bottom w:val="none" w:sz="0" w:space="0" w:color="auto"/>
            <w:right w:val="none" w:sz="0" w:space="0" w:color="auto"/>
          </w:divBdr>
        </w:div>
        <w:div w:id="2111469972">
          <w:marLeft w:val="0"/>
          <w:marRight w:val="0"/>
          <w:marTop w:val="0"/>
          <w:marBottom w:val="0"/>
          <w:divBdr>
            <w:top w:val="none" w:sz="0" w:space="0" w:color="auto"/>
            <w:left w:val="none" w:sz="0" w:space="0" w:color="auto"/>
            <w:bottom w:val="none" w:sz="0" w:space="0" w:color="auto"/>
            <w:right w:val="none" w:sz="0" w:space="0" w:color="auto"/>
          </w:divBdr>
        </w:div>
        <w:div w:id="1510371769">
          <w:marLeft w:val="0"/>
          <w:marRight w:val="0"/>
          <w:marTop w:val="0"/>
          <w:marBottom w:val="0"/>
          <w:divBdr>
            <w:top w:val="none" w:sz="0" w:space="0" w:color="auto"/>
            <w:left w:val="none" w:sz="0" w:space="0" w:color="auto"/>
            <w:bottom w:val="none" w:sz="0" w:space="0" w:color="auto"/>
            <w:right w:val="none" w:sz="0" w:space="0" w:color="auto"/>
          </w:divBdr>
        </w:div>
        <w:div w:id="1721395477">
          <w:marLeft w:val="0"/>
          <w:marRight w:val="0"/>
          <w:marTop w:val="0"/>
          <w:marBottom w:val="0"/>
          <w:divBdr>
            <w:top w:val="none" w:sz="0" w:space="0" w:color="auto"/>
            <w:left w:val="none" w:sz="0" w:space="0" w:color="auto"/>
            <w:bottom w:val="none" w:sz="0" w:space="0" w:color="auto"/>
            <w:right w:val="none" w:sz="0" w:space="0" w:color="auto"/>
          </w:divBdr>
        </w:div>
        <w:div w:id="1926453984">
          <w:marLeft w:val="0"/>
          <w:marRight w:val="0"/>
          <w:marTop w:val="0"/>
          <w:marBottom w:val="0"/>
          <w:divBdr>
            <w:top w:val="none" w:sz="0" w:space="0" w:color="auto"/>
            <w:left w:val="none" w:sz="0" w:space="0" w:color="auto"/>
            <w:bottom w:val="none" w:sz="0" w:space="0" w:color="auto"/>
            <w:right w:val="none" w:sz="0" w:space="0" w:color="auto"/>
          </w:divBdr>
        </w:div>
      </w:divsChild>
    </w:div>
    <w:div w:id="1756437794">
      <w:bodyDiv w:val="1"/>
      <w:marLeft w:val="0"/>
      <w:marRight w:val="0"/>
      <w:marTop w:val="0"/>
      <w:marBottom w:val="0"/>
      <w:divBdr>
        <w:top w:val="none" w:sz="0" w:space="0" w:color="auto"/>
        <w:left w:val="none" w:sz="0" w:space="0" w:color="auto"/>
        <w:bottom w:val="none" w:sz="0" w:space="0" w:color="auto"/>
        <w:right w:val="none" w:sz="0" w:space="0" w:color="auto"/>
      </w:divBdr>
    </w:div>
    <w:div w:id="1768119256">
      <w:bodyDiv w:val="1"/>
      <w:marLeft w:val="0"/>
      <w:marRight w:val="0"/>
      <w:marTop w:val="0"/>
      <w:marBottom w:val="0"/>
      <w:divBdr>
        <w:top w:val="none" w:sz="0" w:space="0" w:color="auto"/>
        <w:left w:val="none" w:sz="0" w:space="0" w:color="auto"/>
        <w:bottom w:val="none" w:sz="0" w:space="0" w:color="auto"/>
        <w:right w:val="none" w:sz="0" w:space="0" w:color="auto"/>
      </w:divBdr>
    </w:div>
    <w:div w:id="1802765928">
      <w:bodyDiv w:val="1"/>
      <w:marLeft w:val="0"/>
      <w:marRight w:val="0"/>
      <w:marTop w:val="0"/>
      <w:marBottom w:val="0"/>
      <w:divBdr>
        <w:top w:val="none" w:sz="0" w:space="0" w:color="auto"/>
        <w:left w:val="none" w:sz="0" w:space="0" w:color="auto"/>
        <w:bottom w:val="none" w:sz="0" w:space="0" w:color="auto"/>
        <w:right w:val="none" w:sz="0" w:space="0" w:color="auto"/>
      </w:divBdr>
    </w:div>
    <w:div w:id="1905139337">
      <w:bodyDiv w:val="1"/>
      <w:marLeft w:val="0"/>
      <w:marRight w:val="0"/>
      <w:marTop w:val="0"/>
      <w:marBottom w:val="0"/>
      <w:divBdr>
        <w:top w:val="none" w:sz="0" w:space="0" w:color="auto"/>
        <w:left w:val="none" w:sz="0" w:space="0" w:color="auto"/>
        <w:bottom w:val="none" w:sz="0" w:space="0" w:color="auto"/>
        <w:right w:val="none" w:sz="0" w:space="0" w:color="auto"/>
      </w:divBdr>
      <w:divsChild>
        <w:div w:id="736434998">
          <w:marLeft w:val="0"/>
          <w:marRight w:val="0"/>
          <w:marTop w:val="0"/>
          <w:marBottom w:val="0"/>
          <w:divBdr>
            <w:top w:val="none" w:sz="0" w:space="0" w:color="auto"/>
            <w:left w:val="none" w:sz="0" w:space="0" w:color="auto"/>
            <w:bottom w:val="none" w:sz="0" w:space="0" w:color="auto"/>
            <w:right w:val="none" w:sz="0" w:space="0" w:color="auto"/>
          </w:divBdr>
        </w:div>
        <w:div w:id="2052263937">
          <w:marLeft w:val="0"/>
          <w:marRight w:val="0"/>
          <w:marTop w:val="0"/>
          <w:marBottom w:val="0"/>
          <w:divBdr>
            <w:top w:val="none" w:sz="0" w:space="0" w:color="auto"/>
            <w:left w:val="none" w:sz="0" w:space="0" w:color="auto"/>
            <w:bottom w:val="none" w:sz="0" w:space="0" w:color="auto"/>
            <w:right w:val="none" w:sz="0" w:space="0" w:color="auto"/>
          </w:divBdr>
        </w:div>
        <w:div w:id="339433900">
          <w:marLeft w:val="0"/>
          <w:marRight w:val="0"/>
          <w:marTop w:val="0"/>
          <w:marBottom w:val="0"/>
          <w:divBdr>
            <w:top w:val="none" w:sz="0" w:space="0" w:color="auto"/>
            <w:left w:val="none" w:sz="0" w:space="0" w:color="auto"/>
            <w:bottom w:val="none" w:sz="0" w:space="0" w:color="auto"/>
            <w:right w:val="none" w:sz="0" w:space="0" w:color="auto"/>
          </w:divBdr>
        </w:div>
        <w:div w:id="970981619">
          <w:marLeft w:val="0"/>
          <w:marRight w:val="0"/>
          <w:marTop w:val="0"/>
          <w:marBottom w:val="0"/>
          <w:divBdr>
            <w:top w:val="none" w:sz="0" w:space="0" w:color="auto"/>
            <w:left w:val="none" w:sz="0" w:space="0" w:color="auto"/>
            <w:bottom w:val="none" w:sz="0" w:space="0" w:color="auto"/>
            <w:right w:val="none" w:sz="0" w:space="0" w:color="auto"/>
          </w:divBdr>
        </w:div>
        <w:div w:id="2055765032">
          <w:marLeft w:val="0"/>
          <w:marRight w:val="0"/>
          <w:marTop w:val="0"/>
          <w:marBottom w:val="0"/>
          <w:divBdr>
            <w:top w:val="none" w:sz="0" w:space="0" w:color="auto"/>
            <w:left w:val="none" w:sz="0" w:space="0" w:color="auto"/>
            <w:bottom w:val="none" w:sz="0" w:space="0" w:color="auto"/>
            <w:right w:val="none" w:sz="0" w:space="0" w:color="auto"/>
          </w:divBdr>
        </w:div>
        <w:div w:id="764301058">
          <w:marLeft w:val="0"/>
          <w:marRight w:val="0"/>
          <w:marTop w:val="0"/>
          <w:marBottom w:val="0"/>
          <w:divBdr>
            <w:top w:val="none" w:sz="0" w:space="0" w:color="auto"/>
            <w:left w:val="none" w:sz="0" w:space="0" w:color="auto"/>
            <w:bottom w:val="none" w:sz="0" w:space="0" w:color="auto"/>
            <w:right w:val="none" w:sz="0" w:space="0" w:color="auto"/>
          </w:divBdr>
        </w:div>
        <w:div w:id="761487278">
          <w:marLeft w:val="0"/>
          <w:marRight w:val="0"/>
          <w:marTop w:val="0"/>
          <w:marBottom w:val="0"/>
          <w:divBdr>
            <w:top w:val="none" w:sz="0" w:space="0" w:color="auto"/>
            <w:left w:val="none" w:sz="0" w:space="0" w:color="auto"/>
            <w:bottom w:val="none" w:sz="0" w:space="0" w:color="auto"/>
            <w:right w:val="none" w:sz="0" w:space="0" w:color="auto"/>
          </w:divBdr>
        </w:div>
        <w:div w:id="1226375793">
          <w:marLeft w:val="0"/>
          <w:marRight w:val="0"/>
          <w:marTop w:val="0"/>
          <w:marBottom w:val="0"/>
          <w:divBdr>
            <w:top w:val="none" w:sz="0" w:space="0" w:color="auto"/>
            <w:left w:val="none" w:sz="0" w:space="0" w:color="auto"/>
            <w:bottom w:val="none" w:sz="0" w:space="0" w:color="auto"/>
            <w:right w:val="none" w:sz="0" w:space="0" w:color="auto"/>
          </w:divBdr>
        </w:div>
        <w:div w:id="740908844">
          <w:marLeft w:val="0"/>
          <w:marRight w:val="0"/>
          <w:marTop w:val="0"/>
          <w:marBottom w:val="0"/>
          <w:divBdr>
            <w:top w:val="none" w:sz="0" w:space="0" w:color="auto"/>
            <w:left w:val="none" w:sz="0" w:space="0" w:color="auto"/>
            <w:bottom w:val="none" w:sz="0" w:space="0" w:color="auto"/>
            <w:right w:val="none" w:sz="0" w:space="0" w:color="auto"/>
          </w:divBdr>
        </w:div>
        <w:div w:id="763846997">
          <w:marLeft w:val="0"/>
          <w:marRight w:val="0"/>
          <w:marTop w:val="0"/>
          <w:marBottom w:val="0"/>
          <w:divBdr>
            <w:top w:val="none" w:sz="0" w:space="0" w:color="auto"/>
            <w:left w:val="none" w:sz="0" w:space="0" w:color="auto"/>
            <w:bottom w:val="none" w:sz="0" w:space="0" w:color="auto"/>
            <w:right w:val="none" w:sz="0" w:space="0" w:color="auto"/>
          </w:divBdr>
        </w:div>
        <w:div w:id="396438834">
          <w:marLeft w:val="0"/>
          <w:marRight w:val="0"/>
          <w:marTop w:val="0"/>
          <w:marBottom w:val="0"/>
          <w:divBdr>
            <w:top w:val="none" w:sz="0" w:space="0" w:color="auto"/>
            <w:left w:val="none" w:sz="0" w:space="0" w:color="auto"/>
            <w:bottom w:val="none" w:sz="0" w:space="0" w:color="auto"/>
            <w:right w:val="none" w:sz="0" w:space="0" w:color="auto"/>
          </w:divBdr>
        </w:div>
        <w:div w:id="2032488785">
          <w:marLeft w:val="0"/>
          <w:marRight w:val="0"/>
          <w:marTop w:val="0"/>
          <w:marBottom w:val="0"/>
          <w:divBdr>
            <w:top w:val="none" w:sz="0" w:space="0" w:color="auto"/>
            <w:left w:val="none" w:sz="0" w:space="0" w:color="auto"/>
            <w:bottom w:val="none" w:sz="0" w:space="0" w:color="auto"/>
            <w:right w:val="none" w:sz="0" w:space="0" w:color="auto"/>
          </w:divBdr>
        </w:div>
        <w:div w:id="906694630">
          <w:marLeft w:val="0"/>
          <w:marRight w:val="0"/>
          <w:marTop w:val="0"/>
          <w:marBottom w:val="0"/>
          <w:divBdr>
            <w:top w:val="none" w:sz="0" w:space="0" w:color="auto"/>
            <w:left w:val="none" w:sz="0" w:space="0" w:color="auto"/>
            <w:bottom w:val="none" w:sz="0" w:space="0" w:color="auto"/>
            <w:right w:val="none" w:sz="0" w:space="0" w:color="auto"/>
          </w:divBdr>
        </w:div>
        <w:div w:id="156919597">
          <w:marLeft w:val="0"/>
          <w:marRight w:val="0"/>
          <w:marTop w:val="0"/>
          <w:marBottom w:val="0"/>
          <w:divBdr>
            <w:top w:val="none" w:sz="0" w:space="0" w:color="auto"/>
            <w:left w:val="none" w:sz="0" w:space="0" w:color="auto"/>
            <w:bottom w:val="none" w:sz="0" w:space="0" w:color="auto"/>
            <w:right w:val="none" w:sz="0" w:space="0" w:color="auto"/>
          </w:divBdr>
        </w:div>
        <w:div w:id="1253122543">
          <w:marLeft w:val="0"/>
          <w:marRight w:val="0"/>
          <w:marTop w:val="0"/>
          <w:marBottom w:val="0"/>
          <w:divBdr>
            <w:top w:val="none" w:sz="0" w:space="0" w:color="auto"/>
            <w:left w:val="none" w:sz="0" w:space="0" w:color="auto"/>
            <w:bottom w:val="none" w:sz="0" w:space="0" w:color="auto"/>
            <w:right w:val="none" w:sz="0" w:space="0" w:color="auto"/>
          </w:divBdr>
        </w:div>
        <w:div w:id="1539734712">
          <w:marLeft w:val="0"/>
          <w:marRight w:val="0"/>
          <w:marTop w:val="0"/>
          <w:marBottom w:val="0"/>
          <w:divBdr>
            <w:top w:val="none" w:sz="0" w:space="0" w:color="auto"/>
            <w:left w:val="none" w:sz="0" w:space="0" w:color="auto"/>
            <w:bottom w:val="none" w:sz="0" w:space="0" w:color="auto"/>
            <w:right w:val="none" w:sz="0" w:space="0" w:color="auto"/>
          </w:divBdr>
        </w:div>
        <w:div w:id="1362707053">
          <w:marLeft w:val="0"/>
          <w:marRight w:val="0"/>
          <w:marTop w:val="0"/>
          <w:marBottom w:val="0"/>
          <w:divBdr>
            <w:top w:val="none" w:sz="0" w:space="0" w:color="auto"/>
            <w:left w:val="none" w:sz="0" w:space="0" w:color="auto"/>
            <w:bottom w:val="none" w:sz="0" w:space="0" w:color="auto"/>
            <w:right w:val="none" w:sz="0" w:space="0" w:color="auto"/>
          </w:divBdr>
        </w:div>
        <w:div w:id="1997998810">
          <w:marLeft w:val="0"/>
          <w:marRight w:val="0"/>
          <w:marTop w:val="0"/>
          <w:marBottom w:val="0"/>
          <w:divBdr>
            <w:top w:val="none" w:sz="0" w:space="0" w:color="auto"/>
            <w:left w:val="none" w:sz="0" w:space="0" w:color="auto"/>
            <w:bottom w:val="none" w:sz="0" w:space="0" w:color="auto"/>
            <w:right w:val="none" w:sz="0" w:space="0" w:color="auto"/>
          </w:divBdr>
        </w:div>
        <w:div w:id="1718893480">
          <w:marLeft w:val="0"/>
          <w:marRight w:val="0"/>
          <w:marTop w:val="0"/>
          <w:marBottom w:val="0"/>
          <w:divBdr>
            <w:top w:val="none" w:sz="0" w:space="0" w:color="auto"/>
            <w:left w:val="none" w:sz="0" w:space="0" w:color="auto"/>
            <w:bottom w:val="none" w:sz="0" w:space="0" w:color="auto"/>
            <w:right w:val="none" w:sz="0" w:space="0" w:color="auto"/>
          </w:divBdr>
        </w:div>
        <w:div w:id="868881902">
          <w:marLeft w:val="0"/>
          <w:marRight w:val="0"/>
          <w:marTop w:val="0"/>
          <w:marBottom w:val="0"/>
          <w:divBdr>
            <w:top w:val="none" w:sz="0" w:space="0" w:color="auto"/>
            <w:left w:val="none" w:sz="0" w:space="0" w:color="auto"/>
            <w:bottom w:val="none" w:sz="0" w:space="0" w:color="auto"/>
            <w:right w:val="none" w:sz="0" w:space="0" w:color="auto"/>
          </w:divBdr>
        </w:div>
        <w:div w:id="14205664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news/uk-32722155" TargetMode="External"/><Relationship Id="rId13" Type="http://schemas.openxmlformats.org/officeDocument/2006/relationships/hyperlink" Target="http://www.churchgrowthresearch.org.uk/UserFiles/File/Reports/FromAnecdoteToEvidence1.0.pdf" TargetMode="External"/><Relationship Id="rId18" Type="http://schemas.openxmlformats.org/officeDocument/2006/relationships/hyperlink" Target="https://www.churchofengland.org/reform-renewal.aspx" TargetMode="External"/><Relationship Id="rId3" Type="http://schemas.openxmlformats.org/officeDocument/2006/relationships/styles" Target="styles.xml"/><Relationship Id="rId21" Type="http://schemas.openxmlformats.org/officeDocument/2006/relationships/hyperlink" Target="http://www.sheffield.anglican.org/UserFiles/File/Training/distinctive_deacon.pdf" TargetMode="External"/><Relationship Id="rId7" Type="http://schemas.openxmlformats.org/officeDocument/2006/relationships/endnotes" Target="endnotes.xml"/><Relationship Id="rId12" Type="http://schemas.openxmlformats.org/officeDocument/2006/relationships/hyperlink" Target="http://biblehub.com/greek/1249.htm" TargetMode="External"/><Relationship Id="rId17" Type="http://schemas.openxmlformats.org/officeDocument/2006/relationships/hyperlink" Target="https://www.churchofengland.org/prayer-worship/worship/texts/ordinal/priests.aspx" TargetMode="External"/><Relationship Id="rId2" Type="http://schemas.openxmlformats.org/officeDocument/2006/relationships/numbering" Target="numbering.xml"/><Relationship Id="rId16" Type="http://schemas.openxmlformats.org/officeDocument/2006/relationships/hyperlink" Target="https://www.churchofengland.org/prayer-worship/worship/texts/ordinal/deacons.aspx" TargetMode="External"/><Relationship Id="rId20" Type="http://schemas.openxmlformats.org/officeDocument/2006/relationships/hyperlink" Target="http://www.ons.gov.uk/ons/rel/census/2011-census/key-statistics-for-local-authorities-in-england-and-wales/rpt-religion.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blehub.com/greek/strongs_1401.ht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hurchofenglandglossary.co.uk/dictionary/definition/deacon" TargetMode="External"/><Relationship Id="rId23" Type="http://schemas.openxmlformats.org/officeDocument/2006/relationships/fontTable" Target="fontTable.xml"/><Relationship Id="rId10" Type="http://schemas.openxmlformats.org/officeDocument/2006/relationships/hyperlink" Target="https://www.biblegateway.com/passage/?search=1+Peter+2%3A9&amp;version=NRSV" TargetMode="External"/><Relationship Id="rId19" Type="http://schemas.openxmlformats.org/officeDocument/2006/relationships/hyperlink" Target="https://www.cuf.org.uk/sites/default/files/PDFs/NearNeighbours/Evaluation/Woolf_NearNeighboursReport.pdf" TargetMode="External"/><Relationship Id="rId4" Type="http://schemas.openxmlformats.org/officeDocument/2006/relationships/settings" Target="settings.xml"/><Relationship Id="rId9" Type="http://schemas.openxmlformats.org/officeDocument/2006/relationships/hyperlink" Target="http://www.bbc.co.uk/news/uk-32722155" TargetMode="External"/><Relationship Id="rId14" Type="http://schemas.openxmlformats.org/officeDocument/2006/relationships/hyperlink" Target="https://www.churchofengland.org/about-us/facts-stats.aspx"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churchgrowthresearch.org.uk/UserFiles/File/Reports/FromAnecdoteToEvidence1.0.pdf" TargetMode="External"/><Relationship Id="rId13" Type="http://schemas.openxmlformats.org/officeDocument/2006/relationships/hyperlink" Target="http://www.sheffield.anglican.org/UserFiles/File/Training/distinctive_deacon.pdf" TargetMode="External"/><Relationship Id="rId3" Type="http://schemas.openxmlformats.org/officeDocument/2006/relationships/hyperlink" Target="https://www.churchofengland.org/prayer-worship/worship/texts/ordinal/deacons.aspx" TargetMode="External"/><Relationship Id="rId7" Type="http://schemas.openxmlformats.org/officeDocument/2006/relationships/hyperlink" Target="https://www.biblegateway.com/passage/?search=1+Peter+2%3A9&amp;version=NRSV" TargetMode="External"/><Relationship Id="rId12" Type="http://schemas.openxmlformats.org/officeDocument/2006/relationships/hyperlink" Target="https://www.cuf.org.uk/sites/default/files/PDFs/NearNeighbours/Evaluation/Woolf_NearNeighboursReport.pdf" TargetMode="External"/><Relationship Id="rId2" Type="http://schemas.openxmlformats.org/officeDocument/2006/relationships/hyperlink" Target="https://www.churchofengland.org/about-us/facts-stats.aspx" TargetMode="External"/><Relationship Id="rId1" Type="http://schemas.openxmlformats.org/officeDocument/2006/relationships/hyperlink" Target="https://www.dur.ac.uk/resources/theologyandministry/TheologyandMinistry2_2.pdf" TargetMode="External"/><Relationship Id="rId6" Type="http://schemas.openxmlformats.org/officeDocument/2006/relationships/hyperlink" Target="https://www.churchofengland.org/prayer-worship/worship/texts/ordinal/priests.aspx" TargetMode="External"/><Relationship Id="rId11" Type="http://schemas.openxmlformats.org/officeDocument/2006/relationships/hyperlink" Target="http://www.bbc.co.uk/news/uk-32722155" TargetMode="External"/><Relationship Id="rId5" Type="http://schemas.openxmlformats.org/officeDocument/2006/relationships/hyperlink" Target="http://biblehub.com/greek/1249.htm" TargetMode="External"/><Relationship Id="rId15" Type="http://schemas.openxmlformats.org/officeDocument/2006/relationships/hyperlink" Target="https://www.churchofengland.org/reform-renewal.aspx" TargetMode="External"/><Relationship Id="rId10" Type="http://schemas.openxmlformats.org/officeDocument/2006/relationships/hyperlink" Target="http://www.bbc.co.uk/news/uk-32722155" TargetMode="External"/><Relationship Id="rId4" Type="http://schemas.openxmlformats.org/officeDocument/2006/relationships/hyperlink" Target="http://biblehub.com/greek/strongs_1401.htm" TargetMode="External"/><Relationship Id="rId9" Type="http://schemas.openxmlformats.org/officeDocument/2006/relationships/hyperlink" Target="http://www.ons.gov.uk/ons/rel/census/2011-census/key-statistics-for-local-authorities-in-england-and-wales/rpt-religion.html" TargetMode="External"/><Relationship Id="rId14" Type="http://schemas.openxmlformats.org/officeDocument/2006/relationships/hyperlink" Target="http://www.sheffield.anglican.org/UserFiles/File/Training/distinctive_deac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994826-6743-4C17-BF72-9F97B1BE4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14565</Words>
  <Characters>83026</Characters>
  <Application>Microsoft Office Word</Application>
  <DocSecurity>0</DocSecurity>
  <Lines>691</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dc:creator>
  <cp:lastModifiedBy>gill kimber</cp:lastModifiedBy>
  <cp:revision>2</cp:revision>
  <cp:lastPrinted>2015-08-23T14:49:00Z</cp:lastPrinted>
  <dcterms:created xsi:type="dcterms:W3CDTF">2016-11-03T10:42:00Z</dcterms:created>
  <dcterms:modified xsi:type="dcterms:W3CDTF">2016-11-03T10:42:00Z</dcterms:modified>
</cp:coreProperties>
</file>